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0F225B" w:rsidRDefault="006A08D5" w:rsidP="00977C46">
      <w:pPr>
        <w:overflowPunct/>
        <w:adjustRightInd/>
        <w:snapToGrid w:val="0"/>
        <w:jc w:val="center"/>
        <w:textAlignment w:val="auto"/>
      </w:pPr>
      <w:r w:rsidRPr="000F225B">
        <w:fldChar w:fldCharType="begin"/>
      </w:r>
      <w:r w:rsidRPr="000F225B">
        <w:instrText xml:space="preserve">  </w:instrText>
      </w:r>
      <w:r w:rsidRPr="000F225B">
        <w:fldChar w:fldCharType="end"/>
      </w:r>
      <w:r w:rsidRPr="000F225B">
        <w:rPr>
          <w:lang w:eastAsia="en-US" w:bidi="ar-SA"/>
        </w:rPr>
        <mc:AlternateContent>
          <mc:Choice Requires="wps">
            <w:drawing>
              <wp:anchor distT="0" distB="0" distL="114300" distR="114300" simplePos="0" relativeHeight="251659264" behindDoc="1" locked="0" layoutInCell="0" allowOverlap="1" wp14:anchorId="629C7CDB" wp14:editId="286ECFC0">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DD" w:rsidRPr="003415D2" w:rsidRDefault="00916ADD" w:rsidP="003415D2">
                            <w:pPr>
                              <w:overflowPunct/>
                              <w:adjustRightInd/>
                              <w:jc w:val="center"/>
                              <w:textAlignment w:val="auto"/>
                              <w:rPr>
                                <w:rFonts w:ascii="Arial" w:hAnsi="Arial" w:cs="Arial"/>
                                <w:b/>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916ADD" w:rsidRPr="003415D2" w:rsidRDefault="00916ADD" w:rsidP="003415D2">
                      <w:pPr>
                        <w:overflowPunct/>
                        <w:adjustRightInd/>
                        <w:jc w:val="center"/>
                        <w:textAlignment w:val="auto"/>
                        <w:rPr>
                          <w:rFonts w:ascii="Arial" w:hAnsi="Arial" w:cs="Arial"/>
                          <w:b/>
                          <w:sz w:val="48"/>
                        </w:rPr>
                      </w:pPr>
                      <w:r>
                        <w:rPr>
                          <w:rFonts w:ascii="Arial" w:hAnsi="Arial"/>
                          <w:b/>
                          <w:sz w:val="48"/>
                        </w:rPr>
                        <w:t>SV</w:t>
                      </w:r>
                    </w:p>
                  </w:txbxContent>
                </v:textbox>
                <w10:wrap anchorx="page" anchory="page"/>
              </v:shape>
            </w:pict>
          </mc:Fallback>
        </mc:AlternateContent>
      </w:r>
      <w:r w:rsidRPr="000F225B">
        <w:rPr>
          <w:lang w:eastAsia="en-US" w:bidi="ar-SA"/>
        </w:rPr>
        <w:drawing>
          <wp:inline distT="0" distB="0" distL="0" distR="0" wp14:anchorId="3E24CBB2" wp14:editId="24A7486D">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0F225B" w:rsidRDefault="008405A0" w:rsidP="00977C46">
      <w:pPr>
        <w:overflowPunct/>
        <w:adjustRightInd/>
        <w:snapToGrid w:val="0"/>
        <w:jc w:val="center"/>
        <w:textAlignment w:val="auto"/>
        <w:rPr>
          <w:rFonts w:ascii="Arial" w:eastAsia="MS Mincho" w:hAnsi="Arial" w:cs="Arial"/>
          <w:b/>
          <w:i/>
          <w:sz w:val="20"/>
        </w:rPr>
      </w:pPr>
      <w:r w:rsidRPr="000F225B">
        <w:rPr>
          <w:rFonts w:ascii="Arial" w:hAnsi="Arial"/>
          <w:b/>
          <w:i/>
          <w:sz w:val="20"/>
        </w:rPr>
        <w:t>Europeiska ekonomiska och sociala kommittén</w:t>
      </w:r>
    </w:p>
    <w:p w:rsidR="008405A0" w:rsidRPr="000F225B" w:rsidRDefault="008405A0" w:rsidP="00977C46">
      <w:pPr>
        <w:overflowPunct/>
        <w:adjustRightInd/>
        <w:snapToGrid w:val="0"/>
        <w:textAlignment w:val="auto"/>
      </w:pPr>
    </w:p>
    <w:p w:rsidR="008405A0" w:rsidRPr="000F225B" w:rsidRDefault="008405A0" w:rsidP="00977C46">
      <w:pPr>
        <w:overflowPunct/>
        <w:adjustRightInd/>
        <w:snapToGrid w:val="0"/>
        <w:textAlignment w:val="auto"/>
      </w:pPr>
    </w:p>
    <w:p w:rsidR="008405A0" w:rsidRPr="000F225B" w:rsidRDefault="008405A0" w:rsidP="00977C46">
      <w:pPr>
        <w:overflowPunct/>
        <w:adjustRightInd/>
        <w:snapToGrid w:val="0"/>
        <w:jc w:val="right"/>
        <w:textAlignment w:val="auto"/>
        <w:rPr>
          <w:rFonts w:eastAsia="MS Mincho"/>
        </w:rPr>
      </w:pPr>
      <w:r w:rsidRPr="000F225B">
        <w:t>Bryssel den 9 oktober 2017</w:t>
      </w:r>
    </w:p>
    <w:p w:rsidR="008405A0" w:rsidRPr="000F225B" w:rsidRDefault="008405A0" w:rsidP="00977C46">
      <w:pPr>
        <w:overflowPunct/>
        <w:adjustRightInd/>
        <w:snapToGrid w:val="0"/>
        <w:textAlignment w:val="auto"/>
      </w:pPr>
    </w:p>
    <w:p w:rsidR="008405A0" w:rsidRPr="000F225B" w:rsidRDefault="008405A0" w:rsidP="00977C46">
      <w:pPr>
        <w:overflowPunct/>
        <w:adjustRightInd/>
        <w:snapToGrid w:val="0"/>
        <w:textAlignment w:val="auto"/>
      </w:pPr>
    </w:p>
    <w:p w:rsidR="00AF6F3E" w:rsidRPr="000F225B" w:rsidRDefault="00AF6F3E" w:rsidP="00977C46">
      <w:pPr>
        <w:overflowPunct/>
        <w:adjustRightInd/>
        <w:snapToGrid w:val="0"/>
        <w:textAlignment w:val="auto"/>
      </w:pPr>
    </w:p>
    <w:p w:rsidR="006819C8" w:rsidRPr="000F225B" w:rsidRDefault="006819C8" w:rsidP="00977C46">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0F225B" w:rsidTr="00A72D7A">
        <w:tc>
          <w:tcPr>
            <w:tcW w:w="9289" w:type="dxa"/>
            <w:tcBorders>
              <w:top w:val="nil"/>
              <w:left w:val="nil"/>
              <w:bottom w:val="double" w:sz="4" w:space="0" w:color="auto"/>
              <w:right w:val="nil"/>
            </w:tcBorders>
          </w:tcPr>
          <w:p w:rsidR="008405A0" w:rsidRPr="000F225B" w:rsidRDefault="0072400C" w:rsidP="00977C46">
            <w:pPr>
              <w:overflowPunct/>
              <w:adjustRightInd/>
              <w:snapToGrid w:val="0"/>
              <w:jc w:val="center"/>
              <w:textAlignment w:val="auto"/>
              <w:rPr>
                <w:rFonts w:eastAsia="MS Mincho"/>
                <w:b/>
                <w:sz w:val="32"/>
              </w:rPr>
            </w:pPr>
            <w:r w:rsidRPr="000F225B">
              <w:rPr>
                <w:b/>
                <w:sz w:val="32"/>
              </w:rPr>
              <w:t xml:space="preserve">PLENARSESSIONEN </w:t>
            </w:r>
            <w:r w:rsidRPr="000F225B">
              <w:rPr>
                <w:b/>
                <w:sz w:val="32"/>
              </w:rPr>
              <w:br/>
              <w:t xml:space="preserve"> </w:t>
            </w:r>
            <w:r w:rsidRPr="000F225B">
              <w:rPr>
                <w:b/>
                <w:sz w:val="32"/>
              </w:rPr>
              <w:br/>
              <w:t xml:space="preserve">DEN 20–21 SEPTEMBER 2017 </w:t>
            </w:r>
            <w:r w:rsidRPr="000F225B">
              <w:rPr>
                <w:b/>
                <w:sz w:val="32"/>
              </w:rPr>
              <w:br/>
              <w:t xml:space="preserve"> </w:t>
            </w:r>
            <w:r w:rsidRPr="000F225B">
              <w:rPr>
                <w:b/>
                <w:sz w:val="32"/>
              </w:rPr>
              <w:br/>
              <w:t>SAMMANFATTNING AV ANTAGNA YTTRANDEN</w:t>
            </w:r>
          </w:p>
          <w:p w:rsidR="008405A0" w:rsidRPr="000F225B" w:rsidRDefault="008405A0" w:rsidP="00977C46">
            <w:pPr>
              <w:overflowPunct/>
              <w:adjustRightInd/>
              <w:textAlignment w:val="auto"/>
            </w:pPr>
          </w:p>
          <w:p w:rsidR="008405A0" w:rsidRPr="000F225B" w:rsidRDefault="008405A0" w:rsidP="00977C46">
            <w:pPr>
              <w:overflowPunct/>
              <w:adjustRightInd/>
              <w:textAlignment w:val="auto"/>
              <w:rPr>
                <w:szCs w:val="22"/>
              </w:rPr>
            </w:pPr>
          </w:p>
        </w:tc>
      </w:tr>
      <w:tr w:rsidR="008405A0" w:rsidRPr="000F225B" w:rsidTr="00A72D7A">
        <w:tc>
          <w:tcPr>
            <w:tcW w:w="9289" w:type="dxa"/>
            <w:tcBorders>
              <w:top w:val="double" w:sz="4" w:space="0" w:color="auto"/>
              <w:left w:val="double" w:sz="4" w:space="0" w:color="auto"/>
              <w:bottom w:val="double" w:sz="4" w:space="0" w:color="auto"/>
              <w:right w:val="double" w:sz="4" w:space="0" w:color="auto"/>
            </w:tcBorders>
          </w:tcPr>
          <w:p w:rsidR="00FF15DA" w:rsidRPr="000F225B" w:rsidRDefault="00FF15DA" w:rsidP="00977C46">
            <w:pPr>
              <w:overflowPunct/>
              <w:adjustRightInd/>
              <w:snapToGrid w:val="0"/>
              <w:jc w:val="center"/>
              <w:textAlignment w:val="auto"/>
              <w:rPr>
                <w:b/>
              </w:rPr>
            </w:pPr>
          </w:p>
          <w:p w:rsidR="008405A0" w:rsidRPr="000F225B" w:rsidRDefault="00A31921" w:rsidP="00977C46">
            <w:pPr>
              <w:overflowPunct/>
              <w:adjustRightInd/>
              <w:snapToGrid w:val="0"/>
              <w:jc w:val="center"/>
              <w:textAlignment w:val="auto"/>
              <w:rPr>
                <w:rFonts w:eastAsia="MS Mincho"/>
                <w:b/>
              </w:rPr>
            </w:pPr>
            <w:r w:rsidRPr="000F225B">
              <w:rPr>
                <w:b/>
              </w:rPr>
              <w:t>Detta dokument finns tillgängligt på de officiella språken på kommitténs webbplats på följande adress:</w:t>
            </w:r>
          </w:p>
          <w:p w:rsidR="008405A0" w:rsidRPr="000F225B" w:rsidRDefault="008405A0" w:rsidP="00977C46">
            <w:pPr>
              <w:overflowPunct/>
              <w:adjustRightInd/>
              <w:snapToGrid w:val="0"/>
              <w:jc w:val="center"/>
              <w:textAlignment w:val="auto"/>
              <w:rPr>
                <w:b/>
              </w:rPr>
            </w:pPr>
          </w:p>
          <w:p w:rsidR="008405A0" w:rsidRPr="000F225B" w:rsidRDefault="000F225B" w:rsidP="00977C46">
            <w:pPr>
              <w:overflowPunct/>
              <w:adjustRightInd/>
              <w:jc w:val="center"/>
              <w:textAlignment w:val="auto"/>
              <w:rPr>
                <w:rFonts w:eastAsia="MS Mincho"/>
                <w:b/>
              </w:rPr>
            </w:pPr>
            <w:hyperlink r:id="rId14" w:anchor="/boxTab1-2">
              <w:r w:rsidR="00864A56" w:rsidRPr="000F225B">
                <w:rPr>
                  <w:rStyle w:val="Hyperlink"/>
                  <w:b/>
                </w:rPr>
                <w:t>http://www.eesc.europa.eu/?i=portal.en.documents#/boxTab1-2</w:t>
              </w:r>
            </w:hyperlink>
          </w:p>
          <w:p w:rsidR="008405A0" w:rsidRPr="000F225B" w:rsidRDefault="008405A0" w:rsidP="00977C46">
            <w:pPr>
              <w:overflowPunct/>
              <w:adjustRightInd/>
              <w:snapToGrid w:val="0"/>
              <w:jc w:val="center"/>
              <w:textAlignment w:val="auto"/>
              <w:rPr>
                <w:b/>
              </w:rPr>
            </w:pPr>
          </w:p>
          <w:p w:rsidR="008405A0" w:rsidRPr="000F225B" w:rsidRDefault="008405A0" w:rsidP="00977C46">
            <w:pPr>
              <w:overflowPunct/>
              <w:adjustRightInd/>
              <w:snapToGrid w:val="0"/>
              <w:jc w:val="center"/>
              <w:textAlignment w:val="auto"/>
              <w:rPr>
                <w:rFonts w:eastAsia="SimSun"/>
                <w:b/>
              </w:rPr>
            </w:pPr>
          </w:p>
          <w:p w:rsidR="008405A0" w:rsidRPr="000F225B" w:rsidRDefault="008405A0" w:rsidP="00977C46">
            <w:pPr>
              <w:overflowPunct/>
              <w:adjustRightInd/>
              <w:snapToGrid w:val="0"/>
              <w:jc w:val="center"/>
              <w:textAlignment w:val="auto"/>
              <w:rPr>
                <w:rFonts w:eastAsia="MS Mincho"/>
                <w:b/>
              </w:rPr>
            </w:pPr>
            <w:r w:rsidRPr="000F225B">
              <w:rPr>
                <w:b/>
              </w:rPr>
              <w:t>De yttranden som tas upp finns tillgängliga på internet via kommitténs sökmotor:</w:t>
            </w:r>
          </w:p>
          <w:p w:rsidR="008405A0" w:rsidRPr="000F225B" w:rsidRDefault="008405A0" w:rsidP="00977C46">
            <w:pPr>
              <w:overflowPunct/>
              <w:adjustRightInd/>
              <w:snapToGrid w:val="0"/>
              <w:jc w:val="center"/>
              <w:textAlignment w:val="auto"/>
              <w:rPr>
                <w:b/>
              </w:rPr>
            </w:pPr>
          </w:p>
          <w:p w:rsidR="008405A0" w:rsidRPr="000F225B" w:rsidRDefault="000F225B" w:rsidP="00977C46">
            <w:pPr>
              <w:overflowPunct/>
              <w:adjustRightInd/>
              <w:jc w:val="center"/>
              <w:textAlignment w:val="auto"/>
              <w:rPr>
                <w:rFonts w:eastAsia="MS Mincho"/>
                <w:b/>
              </w:rPr>
            </w:pPr>
            <w:hyperlink r:id="rId15">
              <w:r w:rsidR="00864A56" w:rsidRPr="000F225B">
                <w:rPr>
                  <w:rStyle w:val="Hyperlink"/>
                  <w:b/>
                </w:rPr>
                <w:t>http://www.eesc.europa.eu/?i=portal.en.opinions-search</w:t>
              </w:r>
            </w:hyperlink>
          </w:p>
          <w:p w:rsidR="008405A0" w:rsidRPr="000F225B" w:rsidRDefault="008405A0" w:rsidP="00977C46">
            <w:pPr>
              <w:overflowPunct/>
              <w:adjustRightInd/>
              <w:snapToGrid w:val="0"/>
              <w:jc w:val="center"/>
              <w:textAlignment w:val="auto"/>
              <w:rPr>
                <w:b/>
                <w:bCs/>
                <w:szCs w:val="22"/>
              </w:rPr>
            </w:pPr>
          </w:p>
        </w:tc>
      </w:tr>
    </w:tbl>
    <w:p w:rsidR="008F7791" w:rsidRPr="000F225B" w:rsidRDefault="008F7791" w:rsidP="00977C46">
      <w:pPr>
        <w:overflowPunct/>
        <w:adjustRightInd/>
        <w:textAlignment w:val="auto"/>
        <w:rPr>
          <w:rFonts w:eastAsia="SimSun"/>
        </w:rPr>
      </w:pPr>
    </w:p>
    <w:p w:rsidR="00A9340A" w:rsidRPr="000F225B" w:rsidRDefault="00A9340A" w:rsidP="00977C46">
      <w:pPr>
        <w:overflowPunct/>
        <w:adjustRightInd/>
        <w:textAlignment w:val="auto"/>
        <w:rPr>
          <w:rFonts w:eastAsia="SimSun"/>
        </w:rPr>
        <w:sectPr w:rsidR="00A9340A" w:rsidRPr="000F225B" w:rsidSect="005927EE">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0F225B" w:rsidRDefault="008405A0" w:rsidP="00977C46">
      <w:pPr>
        <w:overflowPunct/>
        <w:adjustRightInd/>
        <w:snapToGrid w:val="0"/>
        <w:textAlignment w:val="auto"/>
        <w:rPr>
          <w:b/>
        </w:rPr>
      </w:pPr>
      <w:bookmarkStart w:id="0" w:name="_GoBack"/>
      <w:bookmarkEnd w:id="0"/>
      <w:r w:rsidRPr="000F225B">
        <w:rPr>
          <w:b/>
        </w:rPr>
        <w:lastRenderedPageBreak/>
        <w:t>Sammanfattning:</w:t>
      </w:r>
    </w:p>
    <w:p w:rsidR="00D16D76" w:rsidRPr="000F225B" w:rsidRDefault="00D16D76" w:rsidP="00977C46">
      <w:pPr>
        <w:overflowPunct/>
        <w:adjustRightInd/>
        <w:textAlignment w:val="auto"/>
      </w:pPr>
    </w:p>
    <w:p w:rsidR="00992A81" w:rsidRPr="000F225B" w:rsidRDefault="00992A81">
      <w:pPr>
        <w:pStyle w:val="TOC1"/>
        <w:rPr>
          <w:rFonts w:asciiTheme="minorHAnsi" w:eastAsiaTheme="minorEastAsia" w:hAnsiTheme="minorHAnsi" w:cstheme="minorBidi"/>
          <w:szCs w:val="22"/>
          <w:lang w:eastAsia="en-US" w:bidi="ar-SA"/>
        </w:rPr>
      </w:pPr>
      <w:r w:rsidRPr="000F225B">
        <w:fldChar w:fldCharType="begin"/>
      </w:r>
      <w:r w:rsidRPr="000F225B">
        <w:instrText xml:space="preserve"> TOC \o "1-1" \h \z \u </w:instrText>
      </w:r>
      <w:r w:rsidRPr="000F225B">
        <w:fldChar w:fldCharType="separate"/>
      </w:r>
      <w:hyperlink w:anchor="_Toc495316877" w:history="1">
        <w:r w:rsidRPr="000F225B">
          <w:rPr>
            <w:rStyle w:val="Hyperlink"/>
            <w:caps/>
          </w:rPr>
          <w:t>1.</w:t>
        </w:r>
        <w:r w:rsidRPr="000F225B">
          <w:rPr>
            <w:rFonts w:asciiTheme="minorHAnsi" w:eastAsiaTheme="minorEastAsia" w:hAnsiTheme="minorHAnsi" w:cstheme="minorBidi"/>
            <w:szCs w:val="22"/>
            <w:lang w:eastAsia="en-US" w:bidi="ar-SA"/>
          </w:rPr>
          <w:tab/>
        </w:r>
        <w:r w:rsidRPr="000F225B">
          <w:rPr>
            <w:rStyle w:val="Hyperlink"/>
            <w:b/>
            <w:caps/>
          </w:rPr>
          <w:t>Finansiella instrument/skattefrågor</w:t>
        </w:r>
        <w:r w:rsidRPr="000F225B">
          <w:rPr>
            <w:webHidden/>
          </w:rPr>
          <w:tab/>
        </w:r>
        <w:r w:rsidRPr="000F225B">
          <w:rPr>
            <w:webHidden/>
          </w:rPr>
          <w:fldChar w:fldCharType="begin"/>
        </w:r>
        <w:r w:rsidRPr="000F225B">
          <w:rPr>
            <w:webHidden/>
          </w:rPr>
          <w:instrText xml:space="preserve"> PAGEREF _Toc495316877 \h </w:instrText>
        </w:r>
        <w:r w:rsidRPr="000F225B">
          <w:rPr>
            <w:webHidden/>
          </w:rPr>
        </w:r>
        <w:r w:rsidRPr="000F225B">
          <w:rPr>
            <w:webHidden/>
          </w:rPr>
          <w:fldChar w:fldCharType="separate"/>
        </w:r>
        <w:r w:rsidRPr="000F225B">
          <w:rPr>
            <w:webHidden/>
          </w:rPr>
          <w:t>3</w:t>
        </w:r>
        <w:r w:rsidRPr="000F225B">
          <w:rPr>
            <w:webHidden/>
          </w:rPr>
          <w:fldChar w:fldCharType="end"/>
        </w:r>
      </w:hyperlink>
    </w:p>
    <w:p w:rsidR="00992A81" w:rsidRPr="000F225B" w:rsidRDefault="000F225B">
      <w:pPr>
        <w:pStyle w:val="TOC1"/>
        <w:rPr>
          <w:rFonts w:asciiTheme="minorHAnsi" w:eastAsiaTheme="minorEastAsia" w:hAnsiTheme="minorHAnsi" w:cstheme="minorBidi"/>
          <w:szCs w:val="22"/>
          <w:lang w:eastAsia="en-US" w:bidi="ar-SA"/>
        </w:rPr>
      </w:pPr>
      <w:hyperlink w:anchor="_Toc495316878" w:history="1">
        <w:r w:rsidR="00992A81" w:rsidRPr="000F225B">
          <w:rPr>
            <w:rStyle w:val="Hyperlink"/>
            <w:caps/>
          </w:rPr>
          <w:t>2.</w:t>
        </w:r>
        <w:r w:rsidR="00992A81" w:rsidRPr="000F225B">
          <w:rPr>
            <w:rFonts w:asciiTheme="minorHAnsi" w:eastAsiaTheme="minorEastAsia" w:hAnsiTheme="minorHAnsi" w:cstheme="minorBidi"/>
            <w:szCs w:val="22"/>
            <w:lang w:eastAsia="en-US" w:bidi="ar-SA"/>
          </w:rPr>
          <w:tab/>
        </w:r>
        <w:r w:rsidR="00992A81" w:rsidRPr="000F225B">
          <w:rPr>
            <w:rStyle w:val="Hyperlink"/>
            <w:b/>
            <w:caps/>
          </w:rPr>
          <w:t>EU:S lagstiftning/konsekvensanalys</w:t>
        </w:r>
        <w:r w:rsidR="00992A81" w:rsidRPr="000F225B">
          <w:rPr>
            <w:webHidden/>
          </w:rPr>
          <w:tab/>
        </w:r>
        <w:r w:rsidR="00992A81" w:rsidRPr="000F225B">
          <w:rPr>
            <w:webHidden/>
          </w:rPr>
          <w:fldChar w:fldCharType="begin"/>
        </w:r>
        <w:r w:rsidR="00992A81" w:rsidRPr="000F225B">
          <w:rPr>
            <w:webHidden/>
          </w:rPr>
          <w:instrText xml:space="preserve"> PAGEREF _Toc495316878 \h </w:instrText>
        </w:r>
        <w:r w:rsidR="00992A81" w:rsidRPr="000F225B">
          <w:rPr>
            <w:webHidden/>
          </w:rPr>
        </w:r>
        <w:r w:rsidR="00992A81" w:rsidRPr="000F225B">
          <w:rPr>
            <w:webHidden/>
          </w:rPr>
          <w:fldChar w:fldCharType="separate"/>
        </w:r>
        <w:r w:rsidR="00992A81" w:rsidRPr="000F225B">
          <w:rPr>
            <w:webHidden/>
          </w:rPr>
          <w:t>7</w:t>
        </w:r>
        <w:r w:rsidR="00992A81" w:rsidRPr="000F225B">
          <w:rPr>
            <w:webHidden/>
          </w:rPr>
          <w:fldChar w:fldCharType="end"/>
        </w:r>
      </w:hyperlink>
    </w:p>
    <w:p w:rsidR="00992A81" w:rsidRPr="000F225B" w:rsidRDefault="000F225B">
      <w:pPr>
        <w:pStyle w:val="TOC1"/>
        <w:rPr>
          <w:rFonts w:asciiTheme="minorHAnsi" w:eastAsiaTheme="minorEastAsia" w:hAnsiTheme="minorHAnsi" w:cstheme="minorBidi"/>
          <w:szCs w:val="22"/>
          <w:lang w:eastAsia="en-US" w:bidi="ar-SA"/>
        </w:rPr>
      </w:pPr>
      <w:hyperlink w:anchor="_Toc495316879" w:history="1">
        <w:r w:rsidR="00992A81" w:rsidRPr="000F225B">
          <w:rPr>
            <w:rStyle w:val="Hyperlink"/>
            <w:caps/>
          </w:rPr>
          <w:t>3.</w:t>
        </w:r>
        <w:r w:rsidR="00992A81" w:rsidRPr="000F225B">
          <w:rPr>
            <w:rFonts w:asciiTheme="minorHAnsi" w:eastAsiaTheme="minorEastAsia" w:hAnsiTheme="minorHAnsi" w:cstheme="minorBidi"/>
            <w:szCs w:val="22"/>
            <w:lang w:eastAsia="en-US" w:bidi="ar-SA"/>
          </w:rPr>
          <w:tab/>
        </w:r>
        <w:r w:rsidR="00992A81" w:rsidRPr="000F225B">
          <w:rPr>
            <w:rStyle w:val="Hyperlink"/>
            <w:b/>
            <w:caps/>
          </w:rPr>
          <w:t>Tullunionen</w:t>
        </w:r>
        <w:r w:rsidR="00992A81" w:rsidRPr="000F225B">
          <w:rPr>
            <w:webHidden/>
          </w:rPr>
          <w:tab/>
        </w:r>
        <w:r w:rsidR="00992A81" w:rsidRPr="000F225B">
          <w:rPr>
            <w:webHidden/>
          </w:rPr>
          <w:fldChar w:fldCharType="begin"/>
        </w:r>
        <w:r w:rsidR="00992A81" w:rsidRPr="000F225B">
          <w:rPr>
            <w:webHidden/>
          </w:rPr>
          <w:instrText xml:space="preserve"> PAGEREF _Toc495316879 \h </w:instrText>
        </w:r>
        <w:r w:rsidR="00992A81" w:rsidRPr="000F225B">
          <w:rPr>
            <w:webHidden/>
          </w:rPr>
        </w:r>
        <w:r w:rsidR="00992A81" w:rsidRPr="000F225B">
          <w:rPr>
            <w:webHidden/>
          </w:rPr>
          <w:fldChar w:fldCharType="separate"/>
        </w:r>
        <w:r w:rsidR="00992A81" w:rsidRPr="000F225B">
          <w:rPr>
            <w:webHidden/>
          </w:rPr>
          <w:t>8</w:t>
        </w:r>
        <w:r w:rsidR="00992A81" w:rsidRPr="000F225B">
          <w:rPr>
            <w:webHidden/>
          </w:rPr>
          <w:fldChar w:fldCharType="end"/>
        </w:r>
      </w:hyperlink>
    </w:p>
    <w:p w:rsidR="00992A81" w:rsidRPr="000F225B" w:rsidRDefault="000F225B">
      <w:pPr>
        <w:pStyle w:val="TOC1"/>
        <w:rPr>
          <w:rFonts w:asciiTheme="minorHAnsi" w:eastAsiaTheme="minorEastAsia" w:hAnsiTheme="minorHAnsi" w:cstheme="minorBidi"/>
          <w:szCs w:val="22"/>
          <w:lang w:eastAsia="en-US" w:bidi="ar-SA"/>
        </w:rPr>
      </w:pPr>
      <w:hyperlink w:anchor="_Toc495316880" w:history="1">
        <w:r w:rsidR="00992A81" w:rsidRPr="000F225B">
          <w:rPr>
            <w:rStyle w:val="Hyperlink"/>
            <w:caps/>
          </w:rPr>
          <w:t>4.</w:t>
        </w:r>
        <w:r w:rsidR="00992A81" w:rsidRPr="000F225B">
          <w:rPr>
            <w:rFonts w:asciiTheme="minorHAnsi" w:eastAsiaTheme="minorEastAsia" w:hAnsiTheme="minorHAnsi" w:cstheme="minorBidi"/>
            <w:szCs w:val="22"/>
            <w:lang w:eastAsia="en-US" w:bidi="ar-SA"/>
          </w:rPr>
          <w:tab/>
        </w:r>
        <w:r w:rsidR="00992A81" w:rsidRPr="000F225B">
          <w:rPr>
            <w:rStyle w:val="Hyperlink"/>
            <w:b/>
            <w:caps/>
          </w:rPr>
          <w:t>Innovation/digitalisering</w:t>
        </w:r>
        <w:r w:rsidR="00992A81" w:rsidRPr="000F225B">
          <w:rPr>
            <w:webHidden/>
          </w:rPr>
          <w:tab/>
        </w:r>
        <w:r w:rsidR="00992A81" w:rsidRPr="000F225B">
          <w:rPr>
            <w:webHidden/>
          </w:rPr>
          <w:fldChar w:fldCharType="begin"/>
        </w:r>
        <w:r w:rsidR="00992A81" w:rsidRPr="000F225B">
          <w:rPr>
            <w:webHidden/>
          </w:rPr>
          <w:instrText xml:space="preserve"> PAGEREF _Toc495316880 \h </w:instrText>
        </w:r>
        <w:r w:rsidR="00992A81" w:rsidRPr="000F225B">
          <w:rPr>
            <w:webHidden/>
          </w:rPr>
        </w:r>
        <w:r w:rsidR="00992A81" w:rsidRPr="000F225B">
          <w:rPr>
            <w:webHidden/>
          </w:rPr>
          <w:fldChar w:fldCharType="separate"/>
        </w:r>
        <w:r w:rsidR="00992A81" w:rsidRPr="000F225B">
          <w:rPr>
            <w:webHidden/>
          </w:rPr>
          <w:t>9</w:t>
        </w:r>
        <w:r w:rsidR="00992A81" w:rsidRPr="000F225B">
          <w:rPr>
            <w:webHidden/>
          </w:rPr>
          <w:fldChar w:fldCharType="end"/>
        </w:r>
      </w:hyperlink>
    </w:p>
    <w:p w:rsidR="00992A81" w:rsidRPr="000F225B" w:rsidRDefault="000F225B">
      <w:pPr>
        <w:pStyle w:val="TOC1"/>
        <w:rPr>
          <w:rFonts w:asciiTheme="minorHAnsi" w:eastAsiaTheme="minorEastAsia" w:hAnsiTheme="minorHAnsi" w:cstheme="minorBidi"/>
          <w:szCs w:val="22"/>
          <w:lang w:eastAsia="en-US" w:bidi="ar-SA"/>
        </w:rPr>
      </w:pPr>
      <w:hyperlink w:anchor="_Toc495316881" w:history="1">
        <w:r w:rsidR="00992A81" w:rsidRPr="000F225B">
          <w:rPr>
            <w:rStyle w:val="Hyperlink"/>
            <w:caps/>
          </w:rPr>
          <w:t>5.</w:t>
        </w:r>
        <w:r w:rsidR="00992A81" w:rsidRPr="000F225B">
          <w:rPr>
            <w:rFonts w:asciiTheme="minorHAnsi" w:eastAsiaTheme="minorEastAsia" w:hAnsiTheme="minorHAnsi" w:cstheme="minorBidi"/>
            <w:szCs w:val="22"/>
            <w:lang w:eastAsia="en-US" w:bidi="ar-SA"/>
          </w:rPr>
          <w:tab/>
        </w:r>
        <w:r w:rsidR="00992A81" w:rsidRPr="000F225B">
          <w:rPr>
            <w:rStyle w:val="Hyperlink"/>
            <w:b/>
            <w:caps/>
          </w:rPr>
          <w:t>Arbete/sociala frågor</w:t>
        </w:r>
        <w:r w:rsidR="00992A81" w:rsidRPr="000F225B">
          <w:rPr>
            <w:webHidden/>
          </w:rPr>
          <w:tab/>
        </w:r>
        <w:r w:rsidR="00992A81" w:rsidRPr="000F225B">
          <w:rPr>
            <w:webHidden/>
          </w:rPr>
          <w:fldChar w:fldCharType="begin"/>
        </w:r>
        <w:r w:rsidR="00992A81" w:rsidRPr="000F225B">
          <w:rPr>
            <w:webHidden/>
          </w:rPr>
          <w:instrText xml:space="preserve"> PAGEREF _Toc495316881 \h </w:instrText>
        </w:r>
        <w:r w:rsidR="00992A81" w:rsidRPr="000F225B">
          <w:rPr>
            <w:webHidden/>
          </w:rPr>
        </w:r>
        <w:r w:rsidR="00992A81" w:rsidRPr="000F225B">
          <w:rPr>
            <w:webHidden/>
          </w:rPr>
          <w:fldChar w:fldCharType="separate"/>
        </w:r>
        <w:r w:rsidR="00992A81" w:rsidRPr="000F225B">
          <w:rPr>
            <w:webHidden/>
          </w:rPr>
          <w:t>10</w:t>
        </w:r>
        <w:r w:rsidR="00992A81" w:rsidRPr="000F225B">
          <w:rPr>
            <w:webHidden/>
          </w:rPr>
          <w:fldChar w:fldCharType="end"/>
        </w:r>
      </w:hyperlink>
    </w:p>
    <w:p w:rsidR="00992A81" w:rsidRPr="000F225B" w:rsidRDefault="000F225B">
      <w:pPr>
        <w:pStyle w:val="TOC1"/>
        <w:rPr>
          <w:rFonts w:asciiTheme="minorHAnsi" w:eastAsiaTheme="minorEastAsia" w:hAnsiTheme="minorHAnsi" w:cstheme="minorBidi"/>
          <w:szCs w:val="22"/>
          <w:lang w:eastAsia="en-US" w:bidi="ar-SA"/>
        </w:rPr>
      </w:pPr>
      <w:hyperlink w:anchor="_Toc495316882" w:history="1">
        <w:r w:rsidR="00992A81" w:rsidRPr="000F225B">
          <w:rPr>
            <w:rStyle w:val="Hyperlink"/>
            <w:caps/>
          </w:rPr>
          <w:t>6.</w:t>
        </w:r>
        <w:r w:rsidR="00992A81" w:rsidRPr="000F225B">
          <w:rPr>
            <w:rFonts w:asciiTheme="minorHAnsi" w:eastAsiaTheme="minorEastAsia" w:hAnsiTheme="minorHAnsi" w:cstheme="minorBidi"/>
            <w:szCs w:val="22"/>
            <w:lang w:eastAsia="en-US" w:bidi="ar-SA"/>
          </w:rPr>
          <w:tab/>
        </w:r>
        <w:r w:rsidR="00992A81" w:rsidRPr="000F225B">
          <w:rPr>
            <w:rStyle w:val="Hyperlink"/>
            <w:b/>
            <w:caps/>
          </w:rPr>
          <w:t>Yttre förbindelser</w:t>
        </w:r>
        <w:r w:rsidR="00992A81" w:rsidRPr="000F225B">
          <w:rPr>
            <w:webHidden/>
          </w:rPr>
          <w:tab/>
        </w:r>
        <w:r w:rsidR="00992A81" w:rsidRPr="000F225B">
          <w:rPr>
            <w:webHidden/>
          </w:rPr>
          <w:fldChar w:fldCharType="begin"/>
        </w:r>
        <w:r w:rsidR="00992A81" w:rsidRPr="000F225B">
          <w:rPr>
            <w:webHidden/>
          </w:rPr>
          <w:instrText xml:space="preserve"> PAGEREF _Toc495316882 \h </w:instrText>
        </w:r>
        <w:r w:rsidR="00992A81" w:rsidRPr="000F225B">
          <w:rPr>
            <w:webHidden/>
          </w:rPr>
        </w:r>
        <w:r w:rsidR="00992A81" w:rsidRPr="000F225B">
          <w:rPr>
            <w:webHidden/>
          </w:rPr>
          <w:fldChar w:fldCharType="separate"/>
        </w:r>
        <w:r w:rsidR="00992A81" w:rsidRPr="000F225B">
          <w:rPr>
            <w:webHidden/>
          </w:rPr>
          <w:t>12</w:t>
        </w:r>
        <w:r w:rsidR="00992A81" w:rsidRPr="000F225B">
          <w:rPr>
            <w:webHidden/>
          </w:rPr>
          <w:fldChar w:fldCharType="end"/>
        </w:r>
      </w:hyperlink>
    </w:p>
    <w:p w:rsidR="004C340A" w:rsidRPr="000F225B" w:rsidRDefault="00992A81">
      <w:pPr>
        <w:pStyle w:val="TOC1"/>
        <w:rPr>
          <w:rFonts w:asciiTheme="minorHAnsi" w:eastAsiaTheme="minorEastAsia" w:hAnsiTheme="minorHAnsi" w:cstheme="minorBidi"/>
          <w:szCs w:val="22"/>
        </w:rPr>
      </w:pPr>
      <w:r w:rsidRPr="000F225B">
        <w:rPr>
          <w:rFonts w:asciiTheme="minorHAnsi" w:eastAsiaTheme="minorEastAsia" w:hAnsiTheme="minorHAnsi" w:cstheme="minorBidi"/>
          <w:szCs w:val="22"/>
        </w:rPr>
        <w:fldChar w:fldCharType="end"/>
      </w:r>
    </w:p>
    <w:p w:rsidR="008405A0" w:rsidRPr="000F225B" w:rsidRDefault="008405A0" w:rsidP="00977C46">
      <w:pPr>
        <w:overflowPunct/>
        <w:adjustRightInd/>
        <w:textAlignment w:val="auto"/>
      </w:pPr>
      <w:r w:rsidRPr="000F225B">
        <w:br w:type="page"/>
      </w:r>
    </w:p>
    <w:p w:rsidR="003445DE" w:rsidRPr="000F225B" w:rsidRDefault="006C1861" w:rsidP="00977C46">
      <w:pPr>
        <w:overflowPunct/>
        <w:adjustRightInd/>
        <w:textAlignment w:val="auto"/>
        <w:rPr>
          <w:b/>
          <w:bCs/>
        </w:rPr>
      </w:pPr>
      <w:r w:rsidRPr="000F225B">
        <w:lastRenderedPageBreak/>
        <w:t xml:space="preserve">Vid plenarsessionen den 20–21 september 2017 deltog </w:t>
      </w:r>
      <w:r w:rsidRPr="000F225B">
        <w:rPr>
          <w:b/>
        </w:rPr>
        <w:t>Jean-Claude Juncker</w:t>
      </w:r>
      <w:r w:rsidRPr="000F225B">
        <w:t xml:space="preserve">, Europeiska kommissionens ordförande, </w:t>
      </w:r>
      <w:r w:rsidRPr="000F225B">
        <w:rPr>
          <w:b/>
        </w:rPr>
        <w:t>Karl-Heinz Lambertz</w:t>
      </w:r>
      <w:r w:rsidRPr="000F225B">
        <w:t xml:space="preserve">, Europeiska regionkommitténs ordförande, </w:t>
      </w:r>
      <w:r w:rsidR="001549A7" w:rsidRPr="000F225B">
        <w:rPr>
          <w:b/>
        </w:rPr>
        <w:t>Herman van </w:t>
      </w:r>
      <w:r w:rsidRPr="000F225B">
        <w:rPr>
          <w:b/>
        </w:rPr>
        <w:t>Bekkem</w:t>
      </w:r>
      <w:r w:rsidRPr="000F225B">
        <w:t xml:space="preserve">, företrädare för Greenpeace Nederländerna, och </w:t>
      </w:r>
      <w:r w:rsidRPr="000F225B">
        <w:rPr>
          <w:b/>
        </w:rPr>
        <w:t>David Schwartz</w:t>
      </w:r>
      <w:r w:rsidRPr="000F225B">
        <w:t>, samordnare för kampanjen "Förbjud glyfosat" i Bryssel.</w:t>
      </w:r>
    </w:p>
    <w:p w:rsidR="00065751" w:rsidRPr="000F225B" w:rsidRDefault="00065751" w:rsidP="00977C46">
      <w:pPr>
        <w:overflowPunct/>
        <w:adjustRightInd/>
        <w:textAlignment w:val="auto"/>
      </w:pPr>
    </w:p>
    <w:p w:rsidR="00421682" w:rsidRPr="000F225B" w:rsidRDefault="00421682" w:rsidP="00977C46">
      <w:pPr>
        <w:overflowPunct/>
        <w:adjustRightInd/>
        <w:textAlignment w:val="auto"/>
      </w:pPr>
      <w:r w:rsidRPr="000F225B">
        <w:t>Följande yttranden antogs vid plenarsessionen:</w:t>
      </w:r>
    </w:p>
    <w:p w:rsidR="00B50F6E" w:rsidRPr="000F225B" w:rsidRDefault="00B50F6E" w:rsidP="00977C46">
      <w:pPr>
        <w:overflowPunct/>
        <w:adjustRightInd/>
        <w:textAlignment w:val="auto"/>
      </w:pPr>
    </w:p>
    <w:p w:rsidR="00D97E9B" w:rsidRPr="000F225B" w:rsidRDefault="00B50F6E" w:rsidP="00C22360">
      <w:pPr>
        <w:pStyle w:val="Heading1"/>
        <w:keepNext/>
        <w:ind w:left="567" w:hanging="567"/>
        <w:rPr>
          <w:b/>
          <w:caps/>
        </w:rPr>
      </w:pPr>
      <w:bookmarkStart w:id="1" w:name="_Toc494368875"/>
      <w:bookmarkStart w:id="2" w:name="_Toc495316877"/>
      <w:r w:rsidRPr="000F225B">
        <w:rPr>
          <w:b/>
          <w:caps/>
        </w:rPr>
        <w:t>Finansiella instrument/skattefrågor</w:t>
      </w:r>
      <w:bookmarkEnd w:id="1"/>
      <w:bookmarkEnd w:id="2"/>
    </w:p>
    <w:p w:rsidR="006D311D" w:rsidRPr="000F225B" w:rsidRDefault="006D311D" w:rsidP="00C22360">
      <w:pPr>
        <w:keepNext/>
        <w:textAlignment w:val="auto"/>
        <w:rPr>
          <w:i/>
          <w:iCs/>
          <w:szCs w:val="22"/>
          <w:u w:val="single"/>
        </w:rPr>
      </w:pPr>
    </w:p>
    <w:p w:rsidR="006D311D" w:rsidRPr="000F225B" w:rsidRDefault="006D311D" w:rsidP="00CC19E0">
      <w:pPr>
        <w:pStyle w:val="ListParagraph"/>
        <w:keepNext/>
        <w:numPr>
          <w:ilvl w:val="0"/>
          <w:numId w:val="61"/>
        </w:numPr>
        <w:rPr>
          <w:sz w:val="24"/>
          <w:szCs w:val="24"/>
        </w:rPr>
      </w:pPr>
      <w:r w:rsidRPr="000F225B">
        <w:rPr>
          <w:b/>
          <w:i/>
          <w:sz w:val="28"/>
        </w:rPr>
        <w:t>Finansiella tjänster för konsumenter</w:t>
      </w:r>
    </w:p>
    <w:p w:rsidR="006D311D" w:rsidRPr="000F225B" w:rsidRDefault="006D311D" w:rsidP="00C22360">
      <w:pPr>
        <w:keepNext/>
        <w:tabs>
          <w:tab w:val="center" w:pos="284"/>
        </w:tabs>
        <w:ind w:left="266" w:hanging="266"/>
        <w:rPr>
          <w:b/>
        </w:rPr>
      </w:pPr>
    </w:p>
    <w:p w:rsidR="006D311D" w:rsidRPr="000F225B" w:rsidRDefault="006D311D" w:rsidP="00C22360">
      <w:pPr>
        <w:keepNext/>
        <w:tabs>
          <w:tab w:val="center" w:pos="284"/>
        </w:tabs>
        <w:ind w:left="266" w:hanging="266"/>
      </w:pPr>
      <w:r w:rsidRPr="000F225B">
        <w:rPr>
          <w:b/>
        </w:rPr>
        <w:t>Föredragande:</w:t>
      </w:r>
      <w:r w:rsidRPr="000F225B">
        <w:tab/>
        <w:t>Michael Ikrath (Arbetsgivargruppen – AT)</w:t>
      </w:r>
    </w:p>
    <w:p w:rsidR="006D311D" w:rsidRPr="000F225B" w:rsidRDefault="006D311D">
      <w:pPr>
        <w:tabs>
          <w:tab w:val="center" w:pos="284"/>
        </w:tabs>
        <w:ind w:left="266" w:hanging="266"/>
      </w:pPr>
      <w:r w:rsidRPr="000F225B">
        <w:rPr>
          <w:b/>
        </w:rPr>
        <w:t>Medföredragande:</w:t>
      </w:r>
      <w:r w:rsidRPr="000F225B">
        <w:tab/>
        <w:t>Carlos Trias Pintó (Övriga intressegrupper – ES)</w:t>
      </w:r>
    </w:p>
    <w:p w:rsidR="006D311D" w:rsidRPr="000F225B" w:rsidRDefault="006D311D">
      <w:pPr>
        <w:tabs>
          <w:tab w:val="center" w:pos="284"/>
        </w:tabs>
        <w:ind w:left="266" w:hanging="266"/>
        <w:rPr>
          <w:b/>
        </w:rPr>
      </w:pPr>
    </w:p>
    <w:p w:rsidR="00F92923" w:rsidRPr="000F225B" w:rsidRDefault="006D311D">
      <w:pPr>
        <w:tabs>
          <w:tab w:val="center" w:pos="284"/>
        </w:tabs>
        <w:ind w:left="266" w:hanging="266"/>
      </w:pPr>
      <w:r w:rsidRPr="000F225B">
        <w:rPr>
          <w:b/>
        </w:rPr>
        <w:t>Referens:</w:t>
      </w:r>
      <w:r w:rsidRPr="000F225B">
        <w:tab/>
      </w:r>
      <w:r w:rsidRPr="000F225B">
        <w:tab/>
        <w:t>COM(2017) 139 final</w:t>
      </w:r>
    </w:p>
    <w:p w:rsidR="006D311D" w:rsidRPr="000F225B" w:rsidRDefault="00F92923">
      <w:pPr>
        <w:tabs>
          <w:tab w:val="center" w:pos="284"/>
          <w:tab w:val="left" w:pos="1701"/>
        </w:tabs>
        <w:ind w:left="266" w:hanging="266"/>
        <w:rPr>
          <w:szCs w:val="22"/>
        </w:rPr>
      </w:pPr>
      <w:r w:rsidRPr="000F225B">
        <w:tab/>
      </w:r>
      <w:r w:rsidRPr="000F225B">
        <w:tab/>
      </w:r>
      <w:r w:rsidRPr="000F225B">
        <w:tab/>
        <w:t>EESC-2017-01765-00-00-AC-TRA</w:t>
      </w:r>
    </w:p>
    <w:p w:rsidR="006D311D" w:rsidRPr="000F225B" w:rsidRDefault="006D311D">
      <w:pPr>
        <w:tabs>
          <w:tab w:val="center" w:pos="284"/>
        </w:tabs>
        <w:ind w:left="266" w:hanging="266"/>
      </w:pPr>
    </w:p>
    <w:p w:rsidR="006D311D" w:rsidRPr="000F225B" w:rsidRDefault="006D311D" w:rsidP="00C22360">
      <w:pPr>
        <w:keepNext/>
        <w:tabs>
          <w:tab w:val="center" w:pos="284"/>
        </w:tabs>
        <w:ind w:left="266" w:hanging="266"/>
        <w:rPr>
          <w:b/>
          <w:szCs w:val="22"/>
        </w:rPr>
      </w:pPr>
      <w:r w:rsidRPr="000F225B">
        <w:rPr>
          <w:b/>
        </w:rPr>
        <w:t>Huvudpunkter:</w:t>
      </w:r>
    </w:p>
    <w:p w:rsidR="006D311D" w:rsidRPr="000F225B" w:rsidRDefault="006D311D" w:rsidP="00C22360">
      <w:pPr>
        <w:keepNext/>
        <w:rPr>
          <w:b/>
          <w:szCs w:val="22"/>
        </w:rPr>
      </w:pPr>
    </w:p>
    <w:p w:rsidR="006D311D" w:rsidRPr="000F225B" w:rsidRDefault="006D311D" w:rsidP="00C22360">
      <w:pPr>
        <w:keepNext/>
        <w:jc w:val="left"/>
        <w:rPr>
          <w:szCs w:val="22"/>
        </w:rPr>
      </w:pPr>
      <w:r w:rsidRPr="000F225B">
        <w:t>EESK</w:t>
      </w:r>
    </w:p>
    <w:p w:rsidR="006D311D" w:rsidRPr="000F225B" w:rsidRDefault="006D311D">
      <w:pPr>
        <w:numPr>
          <w:ilvl w:val="0"/>
          <w:numId w:val="41"/>
        </w:numPr>
        <w:ind w:left="567" w:hanging="567"/>
        <w:rPr>
          <w:szCs w:val="22"/>
        </w:rPr>
      </w:pPr>
      <w:r w:rsidRPr="000F225B">
        <w:t>välkomnar att kommissionen i detta skede avstår från regleringsåtgärder, och stöder den i dess föresats att tillämpa de relevanta konkurrensreglerna,</w:t>
      </w:r>
    </w:p>
    <w:p w:rsidR="006D311D" w:rsidRPr="000F225B" w:rsidRDefault="006D311D">
      <w:pPr>
        <w:numPr>
          <w:ilvl w:val="0"/>
          <w:numId w:val="41"/>
        </w:numPr>
        <w:ind w:left="567" w:hanging="567"/>
        <w:rPr>
          <w:szCs w:val="22"/>
        </w:rPr>
      </w:pPr>
      <w:r w:rsidRPr="000F225B">
        <w:t>noterar att särskild uppmärksamhet måste ägnas åt traditionella banker som riktar sig till privatkunder ("tråkig bankverksamhet") som viktiga förmedlare av sådana produkter och tjänster,</w:t>
      </w:r>
    </w:p>
    <w:p w:rsidR="006D311D" w:rsidRPr="000F225B" w:rsidRDefault="006D311D">
      <w:pPr>
        <w:numPr>
          <w:ilvl w:val="0"/>
          <w:numId w:val="41"/>
        </w:numPr>
        <w:ind w:left="567" w:hanging="567"/>
        <w:rPr>
          <w:szCs w:val="22"/>
        </w:rPr>
      </w:pPr>
      <w:r w:rsidRPr="000F225B">
        <w:t>rekommenderar att man ska vidta åtgärder för att se till att skatteordningarna för produkter och tjänster inte längre utgör ett hinder för rättvis konkurrens,</w:t>
      </w:r>
    </w:p>
    <w:p w:rsidR="006D311D" w:rsidRPr="000F225B" w:rsidRDefault="006D311D">
      <w:pPr>
        <w:numPr>
          <w:ilvl w:val="0"/>
          <w:numId w:val="41"/>
        </w:numPr>
        <w:ind w:left="567" w:hanging="567"/>
        <w:rPr>
          <w:szCs w:val="22"/>
        </w:rPr>
      </w:pPr>
      <w:r w:rsidRPr="000F225B">
        <w:t>uppmanar kommissionen att sörja för att det införs lämpliga, oberoende och obligatoriskt certifierade jämförelseverktyg för olika finansiella produkter i de olika jurisdiktionerna i EU,</w:t>
      </w:r>
    </w:p>
    <w:p w:rsidR="006D311D" w:rsidRPr="000F225B" w:rsidRDefault="006D311D">
      <w:pPr>
        <w:numPr>
          <w:ilvl w:val="0"/>
          <w:numId w:val="41"/>
        </w:numPr>
        <w:ind w:left="567" w:hanging="567"/>
        <w:rPr>
          <w:szCs w:val="22"/>
        </w:rPr>
      </w:pPr>
      <w:r w:rsidRPr="000F225B">
        <w:t>rekommenderar reglering av utomeuropeiska it-jättar som använder sina kunddatabaser för att erbjuda skräddarsydda produkter för direkt försäljning utan att omfattas av EU:s regler,</w:t>
      </w:r>
    </w:p>
    <w:p w:rsidR="006D311D" w:rsidRPr="000F225B" w:rsidRDefault="006D311D">
      <w:pPr>
        <w:numPr>
          <w:ilvl w:val="0"/>
          <w:numId w:val="41"/>
        </w:numPr>
        <w:ind w:left="567" w:hanging="567"/>
        <w:rPr>
          <w:szCs w:val="22"/>
        </w:rPr>
      </w:pPr>
      <w:r w:rsidRPr="000F225B">
        <w:t>rekommenderar kommissionen att definiera ytterligare produkter, som är enkla och har samma egenskaper och därmed är jämförbara och transparenta, vid sidan av de konsumentprodukter som redan anges i handlingsplanen.</w:t>
      </w:r>
    </w:p>
    <w:p w:rsidR="006D311D" w:rsidRPr="000F225B" w:rsidRDefault="006D311D">
      <w:pPr>
        <w:rPr>
          <w:szCs w:val="24"/>
        </w:rPr>
      </w:pPr>
    </w:p>
    <w:p w:rsidR="006D311D" w:rsidRPr="000F225B" w:rsidRDefault="006D311D" w:rsidP="00C22360">
      <w:pPr>
        <w:keepNext/>
        <w:tabs>
          <w:tab w:val="left" w:pos="1134"/>
        </w:tabs>
        <w:textAlignment w:val="auto"/>
        <w:rPr>
          <w:i/>
        </w:rPr>
      </w:pPr>
      <w:r w:rsidRPr="000F225B">
        <w:rPr>
          <w:b/>
          <w:i/>
        </w:rPr>
        <w:t>Kontaktperson</w:t>
      </w:r>
      <w:r w:rsidRPr="000F225B">
        <w:t>:</w:t>
      </w:r>
      <w:r w:rsidRPr="000F225B">
        <w:tab/>
      </w:r>
      <w:r w:rsidRPr="000F225B">
        <w:rPr>
          <w:i/>
        </w:rPr>
        <w:t>Claudia Drewes-Wran</w:t>
      </w:r>
    </w:p>
    <w:p w:rsidR="00B50F6E" w:rsidRPr="000F225B" w:rsidRDefault="00F92923">
      <w:pPr>
        <w:tabs>
          <w:tab w:val="left" w:pos="1134"/>
        </w:tabs>
        <w:rPr>
          <w:highlight w:val="cyan"/>
        </w:rPr>
      </w:pPr>
      <w:r w:rsidRPr="000F225B">
        <w:tab/>
      </w:r>
      <w:r w:rsidRPr="000F225B">
        <w:rPr>
          <w:i/>
        </w:rPr>
        <w:t xml:space="preserve">(Tfn +32 25468067 – e-post: </w:t>
      </w:r>
      <w:hyperlink r:id="rId22">
        <w:r w:rsidRPr="000F225B">
          <w:rPr>
            <w:i/>
            <w:color w:val="0000FF"/>
            <w:u w:val="single"/>
          </w:rPr>
          <w:t>claudia.drewes-wran@eesc.europa.eu</w:t>
        </w:r>
      </w:hyperlink>
      <w:r w:rsidRPr="000F225B">
        <w:rPr>
          <w:i/>
        </w:rPr>
        <w:t>)</w:t>
      </w:r>
    </w:p>
    <w:p w:rsidR="00D96879" w:rsidRPr="000F225B" w:rsidRDefault="00D96879">
      <w:pPr>
        <w:overflowPunct/>
        <w:autoSpaceDE/>
        <w:autoSpaceDN/>
        <w:adjustRightInd/>
        <w:spacing w:line="240" w:lineRule="auto"/>
        <w:jc w:val="left"/>
        <w:textAlignment w:val="auto"/>
        <w:rPr>
          <w:highlight w:val="yellow"/>
        </w:rPr>
      </w:pPr>
      <w:r w:rsidRPr="000F225B">
        <w:br w:type="page"/>
      </w:r>
    </w:p>
    <w:p w:rsidR="00F92923" w:rsidRPr="000F225B" w:rsidRDefault="00F92923" w:rsidP="00C22360">
      <w:pPr>
        <w:pStyle w:val="ListParagraph"/>
        <w:keepNext/>
        <w:numPr>
          <w:ilvl w:val="0"/>
          <w:numId w:val="53"/>
        </w:numPr>
        <w:rPr>
          <w:b/>
          <w:bCs/>
          <w:i/>
          <w:iCs/>
          <w:sz w:val="28"/>
          <w:szCs w:val="28"/>
        </w:rPr>
      </w:pPr>
      <w:r w:rsidRPr="000F225B">
        <w:rPr>
          <w:b/>
          <w:i/>
          <w:sz w:val="28"/>
        </w:rPr>
        <w:lastRenderedPageBreak/>
        <w:t>En gemensam (konsoliderad) bolagsskattebas</w:t>
      </w:r>
    </w:p>
    <w:p w:rsidR="00F92923" w:rsidRPr="000F225B" w:rsidRDefault="00F92923" w:rsidP="00C22360">
      <w:pPr>
        <w:keepNext/>
        <w:overflowPunct/>
        <w:autoSpaceDE/>
        <w:autoSpaceDN/>
        <w:adjustRightInd/>
        <w:ind w:firstLine="17"/>
        <w:textAlignment w:val="auto"/>
        <w:rPr>
          <w:szCs w:val="22"/>
        </w:rPr>
      </w:pPr>
    </w:p>
    <w:p w:rsidR="00F92923" w:rsidRPr="000F225B" w:rsidRDefault="00F92923" w:rsidP="00C22360">
      <w:pPr>
        <w:keepNext/>
        <w:overflowPunct/>
        <w:autoSpaceDE/>
        <w:autoSpaceDN/>
        <w:adjustRightInd/>
        <w:textAlignment w:val="auto"/>
        <w:rPr>
          <w:szCs w:val="22"/>
        </w:rPr>
      </w:pPr>
      <w:r w:rsidRPr="000F225B">
        <w:rPr>
          <w:b/>
        </w:rPr>
        <w:t>Föredragande:</w:t>
      </w:r>
      <w:r w:rsidRPr="000F225B">
        <w:tab/>
        <w:t>Michael McLoughlin (Övriga intressegrupper – IE)</w:t>
      </w:r>
    </w:p>
    <w:p w:rsidR="00F92923" w:rsidRPr="000F225B" w:rsidRDefault="00F92923" w:rsidP="00C22360">
      <w:pPr>
        <w:keepNext/>
        <w:overflowPunct/>
        <w:autoSpaceDE/>
        <w:autoSpaceDN/>
        <w:adjustRightInd/>
        <w:textAlignment w:val="auto"/>
        <w:rPr>
          <w:szCs w:val="22"/>
        </w:rPr>
      </w:pPr>
    </w:p>
    <w:p w:rsidR="00F92923" w:rsidRPr="000F225B" w:rsidRDefault="00F92923" w:rsidP="00C22360">
      <w:pPr>
        <w:keepNext/>
        <w:overflowPunct/>
        <w:autoSpaceDE/>
        <w:autoSpaceDN/>
        <w:adjustRightInd/>
        <w:ind w:left="-5"/>
        <w:textAlignment w:val="auto"/>
        <w:rPr>
          <w:szCs w:val="22"/>
        </w:rPr>
      </w:pPr>
      <w:r w:rsidRPr="000F225B">
        <w:rPr>
          <w:b/>
        </w:rPr>
        <w:t>Referens:</w:t>
      </w:r>
      <w:r w:rsidRPr="000F225B">
        <w:tab/>
      </w:r>
      <w:r w:rsidRPr="000F225B">
        <w:tab/>
        <w:t>COM(2016) 683 final - 2016/0336 (CNS)</w:t>
      </w:r>
    </w:p>
    <w:p w:rsidR="00F92923" w:rsidRPr="000F225B" w:rsidRDefault="00F92923" w:rsidP="00C22360">
      <w:pPr>
        <w:keepNext/>
        <w:overflowPunct/>
        <w:autoSpaceDE/>
        <w:autoSpaceDN/>
        <w:adjustRightInd/>
        <w:ind w:left="-5"/>
        <w:textAlignment w:val="auto"/>
        <w:rPr>
          <w:iCs/>
          <w:szCs w:val="22"/>
        </w:rPr>
      </w:pPr>
      <w:r w:rsidRPr="000F225B">
        <w:tab/>
      </w:r>
      <w:r w:rsidRPr="000F225B">
        <w:tab/>
      </w:r>
      <w:r w:rsidRPr="000F225B">
        <w:tab/>
      </w:r>
      <w:r w:rsidRPr="000F225B">
        <w:tab/>
        <w:t>COM(2016) 685 final - 2016/0337 (CNS)</w:t>
      </w:r>
    </w:p>
    <w:p w:rsidR="00F92923" w:rsidRPr="000F225B" w:rsidRDefault="00F92923">
      <w:pPr>
        <w:overflowPunct/>
        <w:autoSpaceDE/>
        <w:autoSpaceDN/>
        <w:adjustRightInd/>
        <w:ind w:left="-5"/>
        <w:textAlignment w:val="auto"/>
        <w:rPr>
          <w:szCs w:val="22"/>
        </w:rPr>
      </w:pPr>
      <w:r w:rsidRPr="000F225B">
        <w:tab/>
      </w:r>
      <w:r w:rsidRPr="000F225B">
        <w:tab/>
      </w:r>
      <w:r w:rsidRPr="000F225B">
        <w:tab/>
      </w:r>
      <w:r w:rsidRPr="000F225B">
        <w:tab/>
        <w:t>EESC-2017-02205-00-00-AC-TRA</w:t>
      </w:r>
    </w:p>
    <w:p w:rsidR="00F92923" w:rsidRPr="000F225B" w:rsidRDefault="00F92923">
      <w:pPr>
        <w:overflowPunct/>
        <w:autoSpaceDE/>
        <w:autoSpaceDN/>
        <w:adjustRightInd/>
        <w:ind w:left="-5"/>
        <w:textAlignment w:val="auto"/>
        <w:rPr>
          <w:b/>
          <w:sz w:val="16"/>
          <w:szCs w:val="16"/>
        </w:rPr>
      </w:pPr>
    </w:p>
    <w:p w:rsidR="00F92923" w:rsidRPr="000F225B" w:rsidRDefault="00F92923" w:rsidP="00C22360">
      <w:pPr>
        <w:keepNext/>
        <w:overflowPunct/>
        <w:autoSpaceDE/>
        <w:autoSpaceDN/>
        <w:adjustRightInd/>
        <w:ind w:left="-5"/>
        <w:textAlignment w:val="auto"/>
        <w:rPr>
          <w:b/>
          <w:szCs w:val="22"/>
        </w:rPr>
      </w:pPr>
      <w:r w:rsidRPr="000F225B">
        <w:rPr>
          <w:b/>
        </w:rPr>
        <w:t>Huvudpunkter:</w:t>
      </w:r>
    </w:p>
    <w:p w:rsidR="00F92923" w:rsidRPr="000F225B" w:rsidRDefault="00F92923" w:rsidP="00C22360">
      <w:pPr>
        <w:keepNext/>
        <w:overflowPunct/>
        <w:autoSpaceDE/>
        <w:autoSpaceDN/>
        <w:adjustRightInd/>
        <w:textAlignment w:val="auto"/>
        <w:rPr>
          <w:color w:val="000000" w:themeColor="text1"/>
          <w:sz w:val="16"/>
          <w:szCs w:val="16"/>
        </w:rPr>
      </w:pPr>
    </w:p>
    <w:p w:rsidR="00F92923" w:rsidRPr="000F225B" w:rsidRDefault="00F92923" w:rsidP="00C22360">
      <w:pPr>
        <w:keepNext/>
        <w:overflowPunct/>
        <w:autoSpaceDE/>
        <w:autoSpaceDN/>
        <w:adjustRightInd/>
        <w:textAlignment w:val="auto"/>
        <w:rPr>
          <w:szCs w:val="22"/>
        </w:rPr>
      </w:pPr>
      <w:r w:rsidRPr="000F225B">
        <w:t>EESK:s kommentarer:</w:t>
      </w:r>
    </w:p>
    <w:p w:rsidR="00F92923" w:rsidRPr="000F225B" w:rsidRDefault="00F92923">
      <w:pPr>
        <w:numPr>
          <w:ilvl w:val="0"/>
          <w:numId w:val="43"/>
        </w:numPr>
        <w:overflowPunct/>
        <w:autoSpaceDE/>
        <w:autoSpaceDN/>
        <w:adjustRightInd/>
        <w:ind w:left="567" w:hanging="567"/>
        <w:contextualSpacing/>
        <w:textAlignment w:val="auto"/>
        <w:rPr>
          <w:szCs w:val="22"/>
        </w:rPr>
      </w:pPr>
      <w:r w:rsidRPr="000F225B">
        <w:t>EESK ställer sig bakom målen med kommissionens förslag om en gemensam konsoliderad bolagsskattebas och rekommenderar att man ska göra sitt yttersta för att upprätta den gemensamma konsoliderade bolagsskattebasen genom samförstånd, med tanke på frågornas känsliga karaktär när det gäller subsidiaritet och staternas suveränitet.</w:t>
      </w:r>
    </w:p>
    <w:p w:rsidR="00F92923" w:rsidRPr="000F225B" w:rsidRDefault="00F92923" w:rsidP="00C22360">
      <w:pPr>
        <w:numPr>
          <w:ilvl w:val="0"/>
          <w:numId w:val="45"/>
        </w:numPr>
        <w:overflowPunct/>
        <w:autoSpaceDE/>
        <w:autoSpaceDN/>
        <w:adjustRightInd/>
        <w:ind w:left="567" w:hanging="567"/>
        <w:contextualSpacing/>
        <w:textAlignment w:val="auto"/>
        <w:rPr>
          <w:szCs w:val="22"/>
        </w:rPr>
      </w:pPr>
      <w:r w:rsidRPr="000F225B">
        <w:t>EESK förstår skälen till den tvåstegsstrategi som kommissionen valt, men efterlyser ett snabbt införande av steg två efter överenskommelsen om en gemensam bas, eftersom det är först efter konsolidering som företagen kommer att uppleva de största fördelarna.</w:t>
      </w:r>
    </w:p>
    <w:p w:rsidR="00F92923" w:rsidRPr="000F225B" w:rsidRDefault="00F92923" w:rsidP="00C22360">
      <w:pPr>
        <w:numPr>
          <w:ilvl w:val="0"/>
          <w:numId w:val="44"/>
        </w:numPr>
        <w:overflowPunct/>
        <w:autoSpaceDE/>
        <w:autoSpaceDN/>
        <w:adjustRightInd/>
        <w:ind w:left="567" w:hanging="567"/>
        <w:contextualSpacing/>
        <w:textAlignment w:val="auto"/>
        <w:rPr>
          <w:szCs w:val="22"/>
        </w:rPr>
      </w:pPr>
      <w:r w:rsidRPr="000F225B">
        <w:t>Kommittén konstaterar att kommissionen återlanserade förslaget om en gemensam konsoliderad bolagsskattebas i syfte att både stödja den inre marknaden och bekämpa aggressiv skatteplanering, genom att inkomster hänförs till den plats där värdet skapas.</w:t>
      </w:r>
    </w:p>
    <w:p w:rsidR="00F92923" w:rsidRPr="000F225B" w:rsidRDefault="00F92923" w:rsidP="00C22360">
      <w:pPr>
        <w:numPr>
          <w:ilvl w:val="0"/>
          <w:numId w:val="44"/>
        </w:numPr>
        <w:overflowPunct/>
        <w:autoSpaceDE/>
        <w:autoSpaceDN/>
        <w:adjustRightInd/>
        <w:ind w:left="567" w:hanging="567"/>
        <w:contextualSpacing/>
        <w:textAlignment w:val="auto"/>
        <w:rPr>
          <w:szCs w:val="22"/>
        </w:rPr>
      </w:pPr>
      <w:r w:rsidRPr="000F225B">
        <w:t>EESK rekommenderar en omprövning av fördelningsnyckeln för den gemensamma konsoliderade bolagsskattebasen. Kommissionen och medlemsstaterna bör fundera över om immateriella rättigheter bör undantas från fördelningsnyckeln.</w:t>
      </w:r>
    </w:p>
    <w:p w:rsidR="00F92923" w:rsidRPr="000F225B" w:rsidRDefault="00F92923" w:rsidP="00C22360">
      <w:pPr>
        <w:numPr>
          <w:ilvl w:val="0"/>
          <w:numId w:val="44"/>
        </w:numPr>
        <w:overflowPunct/>
        <w:autoSpaceDE/>
        <w:autoSpaceDN/>
        <w:adjustRightInd/>
        <w:ind w:left="567" w:hanging="567"/>
        <w:contextualSpacing/>
        <w:textAlignment w:val="auto"/>
        <w:rPr>
          <w:szCs w:val="22"/>
        </w:rPr>
      </w:pPr>
      <w:r w:rsidRPr="000F225B">
        <w:t>Kommittén är oroad över att tillämpningen av den föreslagna försäljningsfaktorn ska leda till att många av de mindre exporterande medlemsstaterna förlorar betydande belopp av beskattningsbara inkomster till de större konsumerande medlemsstaterna och är övertygad om att förslaget bör syfta till en rättvis formel och undvika systematiskt obalanserade effekter.</w:t>
      </w:r>
    </w:p>
    <w:p w:rsidR="00F92923" w:rsidRPr="000F225B" w:rsidRDefault="00F92923">
      <w:pPr>
        <w:numPr>
          <w:ilvl w:val="0"/>
          <w:numId w:val="44"/>
        </w:numPr>
        <w:overflowPunct/>
        <w:autoSpaceDE/>
        <w:autoSpaceDN/>
        <w:adjustRightInd/>
        <w:ind w:left="567" w:hanging="567"/>
        <w:contextualSpacing/>
        <w:textAlignment w:val="auto"/>
        <w:rPr>
          <w:szCs w:val="22"/>
        </w:rPr>
      </w:pPr>
      <w:r w:rsidRPr="000F225B">
        <w:t>EESK uppmanar till försiktighet när det gäller förslagen om avskrivning för att se till att de återspeglar företagens verkliga erfarenheter, eftersom möjligheterna till avskrivning kan vara alltför begränsade för vissa tillgångsklasser som föråldras mycket snabbt på grund av den snabba tekniska utvecklingen.</w:t>
      </w:r>
    </w:p>
    <w:p w:rsidR="00F92923" w:rsidRPr="000F225B" w:rsidRDefault="00F92923" w:rsidP="00C22360">
      <w:pPr>
        <w:numPr>
          <w:ilvl w:val="0"/>
          <w:numId w:val="44"/>
        </w:numPr>
        <w:overflowPunct/>
        <w:autoSpaceDE/>
        <w:autoSpaceDN/>
        <w:adjustRightInd/>
        <w:ind w:left="567" w:hanging="567"/>
        <w:contextualSpacing/>
        <w:textAlignment w:val="auto"/>
        <w:rPr>
          <w:szCs w:val="22"/>
        </w:rPr>
      </w:pPr>
      <w:r w:rsidRPr="000F225B">
        <w:t>EESK välkomnar att vikten av den skattemässiga behandlingen av finansiering med eget kapital för företagsinvesteringar erkänns genom förslaget om att skuldfinansiering och finansiering med eget kapital ska behandlas lika.</w:t>
      </w:r>
    </w:p>
    <w:p w:rsidR="00F92923" w:rsidRPr="000F225B" w:rsidRDefault="00F92923" w:rsidP="00C22360">
      <w:pPr>
        <w:numPr>
          <w:ilvl w:val="0"/>
          <w:numId w:val="47"/>
        </w:numPr>
        <w:overflowPunct/>
        <w:autoSpaceDE/>
        <w:autoSpaceDN/>
        <w:adjustRightInd/>
        <w:ind w:left="567" w:hanging="567"/>
        <w:contextualSpacing/>
        <w:textAlignment w:val="auto"/>
        <w:rPr>
          <w:szCs w:val="22"/>
        </w:rPr>
      </w:pPr>
      <w:r w:rsidRPr="000F225B">
        <w:t>EESK rekommenderar att förslagen ska ge upphov till en rättvis balans mellan medlemsstaterna, och därför bör deras effekter undersökas i detalj i varje enskild medlemsstat med avseende på förmågan att locka till sig investeringar samt bevara och skapa arbetstillfällen.</w:t>
      </w:r>
    </w:p>
    <w:p w:rsidR="00F92923" w:rsidRPr="000F225B" w:rsidRDefault="00F92923" w:rsidP="00C22360">
      <w:pPr>
        <w:numPr>
          <w:ilvl w:val="0"/>
          <w:numId w:val="47"/>
        </w:numPr>
        <w:overflowPunct/>
        <w:autoSpaceDE/>
        <w:autoSpaceDN/>
        <w:adjustRightInd/>
        <w:ind w:left="567" w:hanging="567"/>
        <w:contextualSpacing/>
        <w:textAlignment w:val="auto"/>
        <w:rPr>
          <w:szCs w:val="22"/>
        </w:rPr>
      </w:pPr>
      <w:r w:rsidRPr="000F225B">
        <w:t>EESK uppmanar kommissionen att ta itu med behovet av flexibilitet och se till att staterna och företagen kan reagera på förändringar i de globala eller inhemska ekonomiska omständigheterna, samtidigt som EU:s förfaranden och det gemensamma samarbetet respekteras.</w:t>
      </w:r>
    </w:p>
    <w:p w:rsidR="00F92923" w:rsidRPr="000F225B" w:rsidRDefault="00F92923">
      <w:pPr>
        <w:overflowPunct/>
        <w:autoSpaceDE/>
        <w:autoSpaceDN/>
        <w:adjustRightInd/>
        <w:textAlignment w:val="auto"/>
        <w:rPr>
          <w:sz w:val="16"/>
          <w:szCs w:val="16"/>
        </w:rPr>
      </w:pPr>
    </w:p>
    <w:p w:rsidR="00F92923" w:rsidRPr="000F225B" w:rsidRDefault="00F92923" w:rsidP="00C22360">
      <w:pPr>
        <w:keepNext/>
        <w:tabs>
          <w:tab w:val="left" w:pos="770"/>
        </w:tabs>
        <w:overflowPunct/>
        <w:autoSpaceDE/>
        <w:autoSpaceDN/>
        <w:adjustRightInd/>
        <w:ind w:left="1134" w:hanging="1134"/>
        <w:textAlignment w:val="auto"/>
        <w:rPr>
          <w:i/>
          <w:iCs/>
          <w:szCs w:val="22"/>
        </w:rPr>
      </w:pPr>
      <w:r w:rsidRPr="000F225B">
        <w:rPr>
          <w:b/>
          <w:i/>
        </w:rPr>
        <w:t>Kontaktperson:</w:t>
      </w:r>
      <w:r w:rsidRPr="000F225B">
        <w:tab/>
      </w:r>
      <w:r w:rsidRPr="000F225B">
        <w:rPr>
          <w:i/>
        </w:rPr>
        <w:t>Jüri Soosaar</w:t>
      </w:r>
    </w:p>
    <w:p w:rsidR="00D96879" w:rsidRPr="000F225B" w:rsidRDefault="00F92923">
      <w:pPr>
        <w:overflowPunct/>
        <w:autoSpaceDE/>
        <w:autoSpaceDN/>
        <w:adjustRightInd/>
        <w:ind w:left="1134" w:hanging="1134"/>
        <w:textAlignment w:val="auto"/>
        <w:rPr>
          <w:i/>
          <w:iCs/>
          <w:color w:val="0000FF"/>
          <w:szCs w:val="22"/>
          <w:u w:val="single"/>
        </w:rPr>
      </w:pPr>
      <w:r w:rsidRPr="000F225B">
        <w:tab/>
      </w:r>
      <w:r w:rsidRPr="000F225B">
        <w:rPr>
          <w:i/>
        </w:rPr>
        <w:t xml:space="preserve">(Tfn: +32 25469628 – e-post: </w:t>
      </w:r>
      <w:hyperlink r:id="rId23">
        <w:r w:rsidRPr="000F225B">
          <w:rPr>
            <w:i/>
            <w:color w:val="0000FF"/>
            <w:u w:val="single"/>
          </w:rPr>
          <w:t>juri.soosaar@eesc.europa.eu</w:t>
        </w:r>
      </w:hyperlink>
      <w:r w:rsidRPr="000F225B">
        <w:t>)</w:t>
      </w:r>
      <w:r w:rsidRPr="000F225B">
        <w:rPr>
          <w:i/>
          <w:color w:val="0000FF"/>
          <w:u w:val="single"/>
        </w:rPr>
        <w:t xml:space="preserve"> </w:t>
      </w:r>
    </w:p>
    <w:p w:rsidR="00D96879" w:rsidRPr="000F225B" w:rsidRDefault="00D96879">
      <w:pPr>
        <w:overflowPunct/>
        <w:autoSpaceDE/>
        <w:autoSpaceDN/>
        <w:adjustRightInd/>
        <w:spacing w:line="240" w:lineRule="auto"/>
        <w:jc w:val="left"/>
        <w:textAlignment w:val="auto"/>
        <w:rPr>
          <w:i/>
          <w:iCs/>
          <w:color w:val="0000FF"/>
          <w:szCs w:val="22"/>
          <w:u w:val="single"/>
        </w:rPr>
      </w:pPr>
      <w:r w:rsidRPr="000F225B">
        <w:br w:type="page"/>
      </w:r>
    </w:p>
    <w:p w:rsidR="00F92923" w:rsidRPr="000F225B" w:rsidRDefault="00F92923" w:rsidP="00CC19E0">
      <w:pPr>
        <w:pStyle w:val="ListParagraph"/>
        <w:keepNext/>
        <w:numPr>
          <w:ilvl w:val="0"/>
          <w:numId w:val="62"/>
        </w:numPr>
        <w:rPr>
          <w:b/>
          <w:i/>
          <w:sz w:val="28"/>
          <w:szCs w:val="28"/>
        </w:rPr>
      </w:pPr>
      <w:r w:rsidRPr="000F225B">
        <w:rPr>
          <w:b/>
          <w:i/>
          <w:sz w:val="28"/>
        </w:rPr>
        <w:t>Ett skattesystem för konkurrens/tillväxt</w:t>
      </w:r>
    </w:p>
    <w:p w:rsidR="00F92923" w:rsidRPr="000F225B" w:rsidRDefault="00F92923" w:rsidP="00C22360">
      <w:pPr>
        <w:keepNext/>
        <w:tabs>
          <w:tab w:val="center" w:pos="284"/>
        </w:tabs>
        <w:overflowPunct/>
        <w:autoSpaceDE/>
        <w:autoSpaceDN/>
        <w:adjustRightInd/>
        <w:ind w:left="266" w:hanging="266"/>
        <w:textAlignment w:val="auto"/>
        <w:rPr>
          <w:b/>
          <w:szCs w:val="22"/>
        </w:rPr>
      </w:pPr>
    </w:p>
    <w:p w:rsidR="00F92923" w:rsidRPr="000F225B" w:rsidRDefault="00F92923" w:rsidP="00C22360">
      <w:pPr>
        <w:keepNext/>
        <w:tabs>
          <w:tab w:val="center" w:pos="284"/>
          <w:tab w:val="left" w:pos="1701"/>
        </w:tabs>
        <w:overflowPunct/>
        <w:autoSpaceDE/>
        <w:autoSpaceDN/>
        <w:adjustRightInd/>
        <w:ind w:left="266" w:hanging="266"/>
        <w:textAlignment w:val="auto"/>
        <w:rPr>
          <w:szCs w:val="22"/>
        </w:rPr>
      </w:pPr>
      <w:r w:rsidRPr="000F225B">
        <w:rPr>
          <w:b/>
        </w:rPr>
        <w:t>Föredragande:</w:t>
      </w:r>
      <w:r w:rsidRPr="000F225B">
        <w:tab/>
        <w:t>Petru Sorin Dandea (Arbetstagargruppen – RO)</w:t>
      </w:r>
    </w:p>
    <w:p w:rsidR="00F92923" w:rsidRPr="000F225B" w:rsidRDefault="00F92923" w:rsidP="00C22360">
      <w:pPr>
        <w:keepNext/>
        <w:tabs>
          <w:tab w:val="center" w:pos="284"/>
          <w:tab w:val="left" w:pos="1701"/>
        </w:tabs>
        <w:overflowPunct/>
        <w:autoSpaceDE/>
        <w:autoSpaceDN/>
        <w:adjustRightInd/>
        <w:ind w:left="266" w:hanging="266"/>
        <w:textAlignment w:val="auto"/>
        <w:rPr>
          <w:szCs w:val="22"/>
        </w:rPr>
      </w:pPr>
    </w:p>
    <w:p w:rsidR="00916ADD" w:rsidRPr="000F225B" w:rsidRDefault="00F92923" w:rsidP="00C22360">
      <w:pPr>
        <w:keepNext/>
        <w:tabs>
          <w:tab w:val="left" w:pos="1701"/>
        </w:tabs>
        <w:overflowPunct/>
        <w:autoSpaceDE/>
        <w:autoSpaceDN/>
        <w:adjustRightInd/>
        <w:ind w:left="-5"/>
        <w:textAlignment w:val="auto"/>
        <w:rPr>
          <w:szCs w:val="22"/>
        </w:rPr>
      </w:pPr>
      <w:r w:rsidRPr="000F225B">
        <w:rPr>
          <w:b/>
        </w:rPr>
        <w:t>Referens:</w:t>
      </w:r>
      <w:r w:rsidRPr="000F225B">
        <w:tab/>
        <w:t>Yttrande på eget initiativ</w:t>
      </w:r>
    </w:p>
    <w:p w:rsidR="00F92923" w:rsidRPr="000F225B" w:rsidRDefault="00916ADD">
      <w:pPr>
        <w:tabs>
          <w:tab w:val="left" w:pos="1701"/>
        </w:tabs>
        <w:overflowPunct/>
        <w:autoSpaceDE/>
        <w:autoSpaceDN/>
        <w:adjustRightInd/>
        <w:ind w:left="-5"/>
        <w:textAlignment w:val="auto"/>
        <w:rPr>
          <w:szCs w:val="22"/>
        </w:rPr>
      </w:pPr>
      <w:r w:rsidRPr="000F225B">
        <w:tab/>
        <w:t>EESC-2017-00528-00-00-AC-TRA</w:t>
      </w:r>
    </w:p>
    <w:p w:rsidR="00F92923" w:rsidRPr="000F225B" w:rsidRDefault="00F92923">
      <w:pPr>
        <w:tabs>
          <w:tab w:val="center" w:pos="284"/>
          <w:tab w:val="left" w:pos="1701"/>
        </w:tabs>
        <w:overflowPunct/>
        <w:autoSpaceDE/>
        <w:autoSpaceDN/>
        <w:adjustRightInd/>
        <w:ind w:left="266" w:hanging="266"/>
        <w:textAlignment w:val="auto"/>
        <w:rPr>
          <w:szCs w:val="22"/>
        </w:rPr>
      </w:pPr>
    </w:p>
    <w:p w:rsidR="00F92923" w:rsidRPr="000F225B" w:rsidRDefault="00F92923" w:rsidP="00C22360">
      <w:pPr>
        <w:keepNext/>
        <w:tabs>
          <w:tab w:val="center" w:pos="284"/>
        </w:tabs>
        <w:overflowPunct/>
        <w:autoSpaceDE/>
        <w:autoSpaceDN/>
        <w:adjustRightInd/>
        <w:ind w:left="266" w:hanging="266"/>
        <w:textAlignment w:val="auto"/>
        <w:rPr>
          <w:b/>
          <w:szCs w:val="22"/>
        </w:rPr>
      </w:pPr>
      <w:r w:rsidRPr="000F225B">
        <w:rPr>
          <w:b/>
        </w:rPr>
        <w:t>Huvudpunkter:</w:t>
      </w:r>
    </w:p>
    <w:p w:rsidR="00F92923" w:rsidRPr="000F225B" w:rsidRDefault="00F92923" w:rsidP="00C22360">
      <w:pPr>
        <w:keepNext/>
        <w:overflowPunct/>
        <w:autoSpaceDE/>
        <w:autoSpaceDN/>
        <w:adjustRightInd/>
        <w:textAlignment w:val="auto"/>
        <w:outlineLvl w:val="1"/>
        <w:rPr>
          <w:szCs w:val="22"/>
        </w:rPr>
      </w:pPr>
    </w:p>
    <w:p w:rsidR="00F92923" w:rsidRPr="000F225B" w:rsidRDefault="00F92923" w:rsidP="00C22360">
      <w:pPr>
        <w:keepNext/>
        <w:overflowPunct/>
        <w:autoSpaceDE/>
        <w:autoSpaceDN/>
        <w:adjustRightInd/>
        <w:textAlignment w:val="auto"/>
        <w:outlineLvl w:val="1"/>
        <w:rPr>
          <w:szCs w:val="22"/>
        </w:rPr>
      </w:pPr>
      <w:r w:rsidRPr="000F225B">
        <w:t>EESK:s kommentarer:</w:t>
      </w:r>
    </w:p>
    <w:p w:rsidR="00F92923" w:rsidRPr="000F225B" w:rsidRDefault="00C22825" w:rsidP="00C22360">
      <w:pPr>
        <w:numPr>
          <w:ilvl w:val="0"/>
          <w:numId w:val="50"/>
        </w:numPr>
        <w:overflowPunct/>
        <w:autoSpaceDE/>
        <w:autoSpaceDN/>
        <w:adjustRightInd/>
        <w:ind w:left="567" w:hanging="567"/>
        <w:textAlignment w:val="auto"/>
        <w:outlineLvl w:val="1"/>
        <w:rPr>
          <w:szCs w:val="22"/>
        </w:rPr>
      </w:pPr>
      <w:r w:rsidRPr="000F225B">
        <w:t>EESK uppmanar medlemsstaterna att göra mer för att bekämpa aggressiv skatteplanering och skatteflykt.</w:t>
      </w:r>
    </w:p>
    <w:p w:rsidR="00F92923" w:rsidRPr="000F225B" w:rsidRDefault="00F92923" w:rsidP="00C22360">
      <w:pPr>
        <w:numPr>
          <w:ilvl w:val="0"/>
          <w:numId w:val="50"/>
        </w:numPr>
        <w:overflowPunct/>
        <w:autoSpaceDE/>
        <w:autoSpaceDN/>
        <w:adjustRightInd/>
        <w:ind w:left="567" w:hanging="567"/>
        <w:textAlignment w:val="auto"/>
        <w:outlineLvl w:val="1"/>
        <w:rPr>
          <w:szCs w:val="22"/>
        </w:rPr>
      </w:pPr>
      <w:r w:rsidRPr="000F225B">
        <w:t>Kommittén uppmanar kommissionen och medlemsstaterna att fortsätta och intensifiera förhandlingarna inom internationella organisationer för att utarbeta verkningsfulla bestämmelser för att bekämpa skatteflykt.</w:t>
      </w:r>
    </w:p>
    <w:p w:rsidR="00F92923" w:rsidRPr="000F225B" w:rsidRDefault="00F92923" w:rsidP="00C22360">
      <w:pPr>
        <w:numPr>
          <w:ilvl w:val="0"/>
          <w:numId w:val="50"/>
        </w:numPr>
        <w:overflowPunct/>
        <w:autoSpaceDE/>
        <w:autoSpaceDN/>
        <w:adjustRightInd/>
        <w:ind w:left="567" w:hanging="567"/>
        <w:textAlignment w:val="auto"/>
        <w:outlineLvl w:val="1"/>
        <w:rPr>
          <w:szCs w:val="22"/>
        </w:rPr>
      </w:pPr>
      <w:r w:rsidRPr="000F225B">
        <w:t>EESK välkomnar rådets beslut om att godkänna de kriterier som kommissionen föreslagit för kartläggning av jurisdiktioner som är kända som skatteparadis.</w:t>
      </w:r>
    </w:p>
    <w:p w:rsidR="00F92923" w:rsidRPr="000F225B" w:rsidRDefault="00F92923" w:rsidP="00C22360">
      <w:pPr>
        <w:numPr>
          <w:ilvl w:val="0"/>
          <w:numId w:val="50"/>
        </w:numPr>
        <w:overflowPunct/>
        <w:autoSpaceDE/>
        <w:autoSpaceDN/>
        <w:adjustRightInd/>
        <w:ind w:left="567" w:hanging="567"/>
        <w:textAlignment w:val="auto"/>
        <w:outlineLvl w:val="1"/>
        <w:rPr>
          <w:szCs w:val="22"/>
        </w:rPr>
      </w:pPr>
      <w:r w:rsidRPr="000F225B">
        <w:t>EESK uppmanar medlemsstaterna att undvika att fortsatt främja skattekonkurrens genom användning av flera skattebeslut som inte är berättigade utifrån transaktionernas ekonomiska substans.</w:t>
      </w:r>
    </w:p>
    <w:p w:rsidR="00F92923" w:rsidRPr="000F225B" w:rsidRDefault="00F92923" w:rsidP="00C22360">
      <w:pPr>
        <w:numPr>
          <w:ilvl w:val="0"/>
          <w:numId w:val="50"/>
        </w:numPr>
        <w:overflowPunct/>
        <w:autoSpaceDE/>
        <w:autoSpaceDN/>
        <w:adjustRightInd/>
        <w:ind w:left="567" w:hanging="567"/>
        <w:textAlignment w:val="auto"/>
        <w:outlineLvl w:val="1"/>
        <w:rPr>
          <w:szCs w:val="22"/>
        </w:rPr>
      </w:pPr>
      <w:r w:rsidRPr="000F225B">
        <w:t>EESK anser att harmoniseringen och förenklingen av skattebestämmelserna bör vara en prioritering för medlemsstaterna och att harmoniseringsinsatserna bör kompletteras av ett fullständigt avskaffande av skattemässiga hinder.</w:t>
      </w:r>
    </w:p>
    <w:p w:rsidR="00F92923" w:rsidRPr="000F225B" w:rsidRDefault="00F92923" w:rsidP="00C22360">
      <w:pPr>
        <w:numPr>
          <w:ilvl w:val="0"/>
          <w:numId w:val="50"/>
        </w:numPr>
        <w:overflowPunct/>
        <w:autoSpaceDE/>
        <w:autoSpaceDN/>
        <w:adjustRightInd/>
        <w:ind w:left="567" w:hanging="567"/>
        <w:textAlignment w:val="auto"/>
        <w:outlineLvl w:val="1"/>
        <w:rPr>
          <w:szCs w:val="22"/>
        </w:rPr>
      </w:pPr>
      <w:r w:rsidRPr="000F225B">
        <w:t>EESK rekommenderar att medlemsstaterna i samband med skattereformer förskjuter skattebördan från arbetsmarknaden mot det finansiella området eller mot skadlig verksamhet på miljöområdet.</w:t>
      </w:r>
    </w:p>
    <w:p w:rsidR="00F92923" w:rsidRPr="000F225B" w:rsidRDefault="00F92923" w:rsidP="00C22360">
      <w:pPr>
        <w:numPr>
          <w:ilvl w:val="0"/>
          <w:numId w:val="50"/>
        </w:numPr>
        <w:overflowPunct/>
        <w:autoSpaceDE/>
        <w:autoSpaceDN/>
        <w:adjustRightInd/>
        <w:ind w:left="567" w:hanging="567"/>
        <w:textAlignment w:val="auto"/>
        <w:outlineLvl w:val="1"/>
        <w:rPr>
          <w:szCs w:val="22"/>
        </w:rPr>
      </w:pPr>
      <w:r w:rsidRPr="000F225B">
        <w:t>EESK föreslår att den gemensamma konsoliderade bolagsskattebasen utvidgas till att omfatta den inre marknaden och till och med ett större område.</w:t>
      </w:r>
    </w:p>
    <w:p w:rsidR="00F92923" w:rsidRPr="000F225B" w:rsidRDefault="00F92923" w:rsidP="00C22360">
      <w:pPr>
        <w:numPr>
          <w:ilvl w:val="0"/>
          <w:numId w:val="50"/>
        </w:numPr>
        <w:overflowPunct/>
        <w:autoSpaceDE/>
        <w:autoSpaceDN/>
        <w:adjustRightInd/>
        <w:ind w:left="567" w:hanging="567"/>
        <w:textAlignment w:val="auto"/>
        <w:outlineLvl w:val="1"/>
        <w:rPr>
          <w:szCs w:val="22"/>
        </w:rPr>
      </w:pPr>
      <w:r w:rsidRPr="000F225B">
        <w:t>Kommittén anser att formeln för fördelning av den beskattningsbara vinsten, som en del av de konsolideringsåtgärder som den gemensamma konsolidera</w:t>
      </w:r>
      <w:r w:rsidR="00BA3BEE" w:rsidRPr="000F225B">
        <w:t xml:space="preserve">de bolagsskattebasen innebär, </w:t>
      </w:r>
      <w:r w:rsidR="00BA3BEE" w:rsidRPr="000F225B">
        <w:rPr>
          <w:sz w:val="20"/>
        </w:rPr>
        <w:t>i </w:t>
      </w:r>
      <w:r w:rsidRPr="000F225B">
        <w:rPr>
          <w:sz w:val="20"/>
        </w:rPr>
        <w:t>största</w:t>
      </w:r>
      <w:r w:rsidRPr="000F225B">
        <w:t xml:space="preserve"> möjliga mån bör grunda sig på principen om beskattning av vinsten där den genereras.</w:t>
      </w:r>
    </w:p>
    <w:p w:rsidR="00F92923" w:rsidRPr="000F225B" w:rsidRDefault="00F92923" w:rsidP="00C22360">
      <w:pPr>
        <w:numPr>
          <w:ilvl w:val="0"/>
          <w:numId w:val="50"/>
        </w:numPr>
        <w:overflowPunct/>
        <w:autoSpaceDE/>
        <w:autoSpaceDN/>
        <w:adjustRightInd/>
        <w:ind w:left="567" w:hanging="567"/>
        <w:textAlignment w:val="auto"/>
        <w:outlineLvl w:val="1"/>
        <w:rPr>
          <w:szCs w:val="22"/>
        </w:rPr>
      </w:pPr>
      <w:r w:rsidRPr="000F225B">
        <w:t>EESK hänvisar till sitt förslag om att införa en "skatteorm" som liknar "valutaormen" från tiden före införandet av den gemensamma valutan.</w:t>
      </w:r>
    </w:p>
    <w:p w:rsidR="00F92923" w:rsidRPr="000F225B" w:rsidRDefault="00F92923" w:rsidP="00C22360">
      <w:pPr>
        <w:numPr>
          <w:ilvl w:val="0"/>
          <w:numId w:val="50"/>
        </w:numPr>
        <w:overflowPunct/>
        <w:autoSpaceDE/>
        <w:autoSpaceDN/>
        <w:adjustRightInd/>
        <w:ind w:left="567" w:hanging="567"/>
        <w:textAlignment w:val="auto"/>
        <w:outlineLvl w:val="1"/>
        <w:rPr>
          <w:szCs w:val="22"/>
        </w:rPr>
      </w:pPr>
      <w:r w:rsidRPr="000F225B">
        <w:t>EESK är av uppfattningen att ansträngningarna för att harmonisera bestämmelserna om fastställandet av skattebaser för de viktigaste skatterna skulle kunna stödjas bättre om det infördes ett system med omröstning med kvalificerad majoritet på området direkt beskattning. Snabbare framsteg skulle kunna göras inom skattepolitiken, vilket skulle ha positiva effekter för den inre marknaden och skapa en avsevärd tillväxtpotential, med tanke på att ett harmoniserat system avsevärt skulle minska företagens efterlevnadskostnader och ge upphov till ett mer förutsägbart skattesystem i EU.</w:t>
      </w:r>
    </w:p>
    <w:p w:rsidR="00F92923" w:rsidRPr="000F225B" w:rsidRDefault="00F92923">
      <w:pPr>
        <w:overflowPunct/>
        <w:autoSpaceDE/>
        <w:autoSpaceDN/>
        <w:adjustRightInd/>
        <w:textAlignment w:val="auto"/>
        <w:rPr>
          <w:szCs w:val="22"/>
        </w:rPr>
      </w:pPr>
    </w:p>
    <w:p w:rsidR="00F92923" w:rsidRPr="000F225B" w:rsidRDefault="00F92923" w:rsidP="00C22360">
      <w:pPr>
        <w:keepNext/>
        <w:tabs>
          <w:tab w:val="left" w:pos="1134"/>
        </w:tabs>
        <w:overflowPunct/>
        <w:autoSpaceDE/>
        <w:autoSpaceDN/>
        <w:adjustRightInd/>
        <w:textAlignment w:val="auto"/>
        <w:rPr>
          <w:i/>
          <w:szCs w:val="22"/>
        </w:rPr>
      </w:pPr>
      <w:r w:rsidRPr="000F225B">
        <w:rPr>
          <w:b/>
          <w:i/>
        </w:rPr>
        <w:t>Kontakt</w:t>
      </w:r>
      <w:r w:rsidRPr="000F225B">
        <w:rPr>
          <w:i/>
        </w:rPr>
        <w:t xml:space="preserve">: </w:t>
      </w:r>
      <w:r w:rsidRPr="000F225B">
        <w:tab/>
      </w:r>
      <w:r w:rsidRPr="000F225B">
        <w:rPr>
          <w:i/>
        </w:rPr>
        <w:t>Krisztina Perlaky-Tóth</w:t>
      </w:r>
    </w:p>
    <w:p w:rsidR="00D96879" w:rsidRPr="000F225B" w:rsidRDefault="00F92923" w:rsidP="00CC19E0">
      <w:pPr>
        <w:tabs>
          <w:tab w:val="left" w:pos="1134"/>
        </w:tabs>
        <w:rPr>
          <w:i/>
          <w:szCs w:val="22"/>
        </w:rPr>
      </w:pPr>
      <w:r w:rsidRPr="000F225B">
        <w:tab/>
      </w:r>
      <w:r w:rsidRPr="000F225B">
        <w:rPr>
          <w:i/>
        </w:rPr>
        <w:t xml:space="preserve">(Tfn +32 25469740 – e-post: </w:t>
      </w:r>
      <w:hyperlink r:id="rId24">
        <w:r w:rsidRPr="000F225B">
          <w:rPr>
            <w:i/>
            <w:color w:val="0000FF"/>
            <w:u w:val="single"/>
          </w:rPr>
          <w:t>Krisztina.PerlakyToth@eesc.europa.eu</w:t>
        </w:r>
      </w:hyperlink>
      <w:r w:rsidRPr="000F225B">
        <w:rPr>
          <w:i/>
        </w:rPr>
        <w:t>)</w:t>
      </w:r>
      <w:r w:rsidRPr="000F225B">
        <w:br w:type="page"/>
      </w:r>
    </w:p>
    <w:p w:rsidR="00F92923" w:rsidRPr="000F225B" w:rsidRDefault="00F92923" w:rsidP="00CC19E0">
      <w:pPr>
        <w:pStyle w:val="ListParagraph"/>
        <w:keepNext/>
        <w:numPr>
          <w:ilvl w:val="0"/>
          <w:numId w:val="63"/>
        </w:numPr>
        <w:rPr>
          <w:b/>
          <w:bCs/>
          <w:i/>
          <w:iCs/>
          <w:sz w:val="28"/>
          <w:szCs w:val="28"/>
        </w:rPr>
      </w:pPr>
      <w:r w:rsidRPr="000F225B">
        <w:rPr>
          <w:b/>
          <w:i/>
          <w:sz w:val="28"/>
        </w:rPr>
        <w:t>Förordningen om Europas marknadsinfrastrukturer (Emir) – ändring</w:t>
      </w:r>
    </w:p>
    <w:p w:rsidR="00F92923" w:rsidRPr="000F225B" w:rsidRDefault="00F92923" w:rsidP="00C22360">
      <w:pPr>
        <w:keepNext/>
        <w:overflowPunct/>
        <w:autoSpaceDE/>
        <w:autoSpaceDN/>
        <w:adjustRightInd/>
        <w:ind w:firstLine="17"/>
        <w:textAlignment w:val="auto"/>
        <w:rPr>
          <w:szCs w:val="22"/>
        </w:rPr>
      </w:pPr>
    </w:p>
    <w:p w:rsidR="00F92923" w:rsidRPr="000F225B" w:rsidRDefault="00F92923" w:rsidP="00C22360">
      <w:pPr>
        <w:keepNext/>
        <w:tabs>
          <w:tab w:val="left" w:pos="1701"/>
        </w:tabs>
        <w:overflowPunct/>
        <w:autoSpaceDE/>
        <w:autoSpaceDN/>
        <w:adjustRightInd/>
        <w:textAlignment w:val="auto"/>
        <w:rPr>
          <w:szCs w:val="22"/>
        </w:rPr>
      </w:pPr>
      <w:r w:rsidRPr="000F225B">
        <w:rPr>
          <w:b/>
        </w:rPr>
        <w:t>Föredragande:</w:t>
      </w:r>
      <w:r w:rsidRPr="000F225B">
        <w:tab/>
        <w:t>Petru Sorin Dandea (Arbetstagargruppen – RO)</w:t>
      </w:r>
    </w:p>
    <w:p w:rsidR="00F92923" w:rsidRPr="000F225B" w:rsidRDefault="00F92923" w:rsidP="00C22360">
      <w:pPr>
        <w:keepNext/>
        <w:tabs>
          <w:tab w:val="left" w:pos="1701"/>
        </w:tabs>
        <w:overflowPunct/>
        <w:autoSpaceDE/>
        <w:autoSpaceDN/>
        <w:adjustRightInd/>
        <w:textAlignment w:val="auto"/>
        <w:rPr>
          <w:szCs w:val="22"/>
        </w:rPr>
      </w:pPr>
    </w:p>
    <w:p w:rsidR="00F92923" w:rsidRPr="000F225B" w:rsidRDefault="00F92923" w:rsidP="00C22360">
      <w:pPr>
        <w:keepNext/>
        <w:tabs>
          <w:tab w:val="left" w:pos="1701"/>
        </w:tabs>
        <w:overflowPunct/>
        <w:autoSpaceDE/>
        <w:autoSpaceDN/>
        <w:adjustRightInd/>
        <w:ind w:left="-5"/>
        <w:textAlignment w:val="auto"/>
        <w:rPr>
          <w:szCs w:val="22"/>
        </w:rPr>
      </w:pPr>
      <w:r w:rsidRPr="000F225B">
        <w:rPr>
          <w:b/>
        </w:rPr>
        <w:t>Referens:</w:t>
      </w:r>
      <w:r w:rsidRPr="000F225B">
        <w:tab/>
        <w:t>COM(2017) 208 final - 2017/090 (COD)</w:t>
      </w:r>
    </w:p>
    <w:p w:rsidR="00F92923" w:rsidRPr="000F225B" w:rsidRDefault="00F92923" w:rsidP="00C22360">
      <w:pPr>
        <w:keepNext/>
        <w:tabs>
          <w:tab w:val="left" w:pos="1701"/>
        </w:tabs>
        <w:overflowPunct/>
        <w:autoSpaceDE/>
        <w:autoSpaceDN/>
        <w:adjustRightInd/>
        <w:ind w:left="-5"/>
        <w:textAlignment w:val="auto"/>
        <w:rPr>
          <w:iCs/>
          <w:szCs w:val="22"/>
        </w:rPr>
      </w:pPr>
      <w:r w:rsidRPr="000F225B">
        <w:tab/>
        <w:t>COM(2017) 331 final - 2017/0136 (COD)</w:t>
      </w:r>
    </w:p>
    <w:p w:rsidR="00F92923" w:rsidRPr="000F225B" w:rsidRDefault="00F92923">
      <w:pPr>
        <w:tabs>
          <w:tab w:val="left" w:pos="1701"/>
        </w:tabs>
        <w:overflowPunct/>
        <w:autoSpaceDE/>
        <w:autoSpaceDN/>
        <w:adjustRightInd/>
        <w:ind w:left="-5"/>
        <w:textAlignment w:val="auto"/>
        <w:rPr>
          <w:szCs w:val="22"/>
        </w:rPr>
      </w:pPr>
      <w:r w:rsidRPr="000F225B">
        <w:tab/>
        <w:t>EESC-2017-02566-00-01-AC-TRA</w:t>
      </w:r>
    </w:p>
    <w:p w:rsidR="00F92923" w:rsidRPr="000F225B" w:rsidRDefault="00F92923">
      <w:pPr>
        <w:overflowPunct/>
        <w:autoSpaceDE/>
        <w:autoSpaceDN/>
        <w:adjustRightInd/>
        <w:ind w:left="-5"/>
        <w:textAlignment w:val="auto"/>
        <w:rPr>
          <w:b/>
          <w:szCs w:val="22"/>
        </w:rPr>
      </w:pPr>
    </w:p>
    <w:p w:rsidR="00F92923" w:rsidRPr="000F225B" w:rsidRDefault="00F92923" w:rsidP="00C22360">
      <w:pPr>
        <w:keepNext/>
        <w:overflowPunct/>
        <w:autoSpaceDE/>
        <w:autoSpaceDN/>
        <w:adjustRightInd/>
        <w:ind w:left="-5"/>
        <w:textAlignment w:val="auto"/>
        <w:rPr>
          <w:b/>
          <w:szCs w:val="22"/>
        </w:rPr>
      </w:pPr>
      <w:r w:rsidRPr="000F225B">
        <w:rPr>
          <w:b/>
        </w:rPr>
        <w:t>Huvudpunkter:</w:t>
      </w:r>
    </w:p>
    <w:p w:rsidR="00F92923" w:rsidRPr="000F225B" w:rsidRDefault="00F92923" w:rsidP="00C22360">
      <w:pPr>
        <w:keepNext/>
        <w:overflowPunct/>
        <w:autoSpaceDE/>
        <w:autoSpaceDN/>
        <w:adjustRightInd/>
        <w:textAlignment w:val="auto"/>
        <w:rPr>
          <w:color w:val="000000" w:themeColor="text1"/>
          <w:szCs w:val="22"/>
        </w:rPr>
      </w:pPr>
    </w:p>
    <w:p w:rsidR="00F92923" w:rsidRPr="000F225B" w:rsidRDefault="00F92923" w:rsidP="00C22360">
      <w:pPr>
        <w:keepNext/>
        <w:overflowPunct/>
        <w:autoSpaceDE/>
        <w:autoSpaceDN/>
        <w:adjustRightInd/>
        <w:textAlignment w:val="auto"/>
        <w:rPr>
          <w:color w:val="000000" w:themeColor="text1"/>
          <w:szCs w:val="22"/>
        </w:rPr>
      </w:pPr>
      <w:r w:rsidRPr="000F225B">
        <w:rPr>
          <w:color w:val="000000" w:themeColor="text1"/>
        </w:rPr>
        <w:t>EESK:s kommentarer:</w:t>
      </w:r>
    </w:p>
    <w:p w:rsidR="00F92923" w:rsidRPr="000F225B" w:rsidRDefault="00921023" w:rsidP="00C22360">
      <w:pPr>
        <w:numPr>
          <w:ilvl w:val="0"/>
          <w:numId w:val="49"/>
        </w:numPr>
        <w:overflowPunct/>
        <w:autoSpaceDE/>
        <w:autoSpaceDN/>
        <w:adjustRightInd/>
        <w:ind w:left="567" w:hanging="567"/>
        <w:contextualSpacing/>
        <w:textAlignment w:val="auto"/>
        <w:rPr>
          <w:color w:val="000000" w:themeColor="text1"/>
          <w:szCs w:val="22"/>
        </w:rPr>
      </w:pPr>
      <w:r w:rsidRPr="000F225B">
        <w:rPr>
          <w:color w:val="000000" w:themeColor="text1"/>
        </w:rPr>
        <w:t>EESK välkomnar de två förslagen till förordningar om ändringa av Emir, och i synnerhet att de föregås av ett omfattande offentligt samråd.</w:t>
      </w:r>
    </w:p>
    <w:p w:rsidR="00F92923" w:rsidRPr="000F225B"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0F225B">
        <w:rPr>
          <w:color w:val="000000" w:themeColor="text1"/>
        </w:rPr>
        <w:t>EESK anser att det är viktigt att de åtgärder som kommissionen har föreslagit är förenliga med handlingsplanen för kapitalmarknadsunionen, särskilt dess bestämmelser om värdepapperisering.</w:t>
      </w:r>
    </w:p>
    <w:p w:rsidR="00F92923" w:rsidRPr="000F225B"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0F225B">
        <w:rPr>
          <w:color w:val="000000" w:themeColor="text1"/>
        </w:rPr>
        <w:t>EESK rekommenderar en standardisering av typerna av derivattransaktioner och instrument, eftersom man därigenom avsevärt kan höja de rapporterade uppgifternas kvalitet.</w:t>
      </w:r>
    </w:p>
    <w:p w:rsidR="00F92923" w:rsidRPr="000F225B"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0F225B">
        <w:rPr>
          <w:color w:val="000000" w:themeColor="text1"/>
        </w:rPr>
        <w:t>Kommittén ställer sig bakom kommissionens förslag om att införa en clearingtröskel för små motparter, eftersom de har svårt att få tillgång till clearing.</w:t>
      </w:r>
    </w:p>
    <w:p w:rsidR="00F92923" w:rsidRPr="000F225B"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0F225B">
        <w:rPr>
          <w:color w:val="000000" w:themeColor="text1"/>
        </w:rPr>
        <w:t>EESK stöder kommissionens förslag att förlänga den period under vilken pensionsfonder undantas från kravet på central clearing, eftersom det hittills inte gått att hitta lösningar som ger dem den erforderliga likviditeten, utan att det påverkar fondmedlemmarnas intressen.</w:t>
      </w:r>
    </w:p>
    <w:p w:rsidR="00F92923" w:rsidRPr="000F225B" w:rsidRDefault="00F92923" w:rsidP="00C22360">
      <w:pPr>
        <w:numPr>
          <w:ilvl w:val="0"/>
          <w:numId w:val="49"/>
        </w:numPr>
        <w:overflowPunct/>
        <w:autoSpaceDE/>
        <w:autoSpaceDN/>
        <w:adjustRightInd/>
        <w:ind w:left="567" w:hanging="567"/>
        <w:contextualSpacing/>
        <w:textAlignment w:val="auto"/>
        <w:rPr>
          <w:color w:val="000000" w:themeColor="text1"/>
          <w:szCs w:val="22"/>
        </w:rPr>
      </w:pPr>
      <w:r w:rsidRPr="000F225B">
        <w:rPr>
          <w:color w:val="000000" w:themeColor="text1"/>
        </w:rPr>
        <w:t>Kommittén välkomnar kommissionens förslag om att inrätta en ny tillsynsmekanism inom Europeiska värdepappers- och marknadsmyndigheten (Esma).</w:t>
      </w:r>
    </w:p>
    <w:p w:rsidR="00F92923" w:rsidRPr="000F225B" w:rsidRDefault="00F92923">
      <w:pPr>
        <w:overflowPunct/>
        <w:autoSpaceDE/>
        <w:autoSpaceDN/>
        <w:adjustRightInd/>
        <w:textAlignment w:val="auto"/>
        <w:rPr>
          <w:szCs w:val="22"/>
        </w:rPr>
      </w:pPr>
    </w:p>
    <w:p w:rsidR="00F92923" w:rsidRPr="000F225B" w:rsidRDefault="00F92923" w:rsidP="00C22360">
      <w:pPr>
        <w:keepNext/>
        <w:overflowPunct/>
        <w:autoSpaceDE/>
        <w:autoSpaceDN/>
        <w:adjustRightInd/>
        <w:ind w:left="1134" w:hanging="1134"/>
        <w:textAlignment w:val="auto"/>
        <w:rPr>
          <w:i/>
          <w:iCs/>
          <w:szCs w:val="22"/>
        </w:rPr>
      </w:pPr>
      <w:r w:rsidRPr="000F225B">
        <w:rPr>
          <w:b/>
          <w:i/>
        </w:rPr>
        <w:t>Kontaktperson:</w:t>
      </w:r>
      <w:r w:rsidRPr="000F225B">
        <w:tab/>
      </w:r>
      <w:r w:rsidRPr="000F225B">
        <w:rPr>
          <w:i/>
        </w:rPr>
        <w:t>Gerald Klec</w:t>
      </w:r>
    </w:p>
    <w:p w:rsidR="00B50F6E" w:rsidRPr="000F225B" w:rsidRDefault="00F92923">
      <w:pPr>
        <w:ind w:left="1134" w:hanging="1134"/>
        <w:rPr>
          <w:i/>
          <w:iCs/>
          <w:szCs w:val="22"/>
        </w:rPr>
      </w:pPr>
      <w:r w:rsidRPr="000F225B">
        <w:tab/>
      </w:r>
      <w:r w:rsidRPr="000F225B">
        <w:rPr>
          <w:i/>
        </w:rPr>
        <w:t xml:space="preserve">(Tfn +32 25469909 – e-post </w:t>
      </w:r>
      <w:hyperlink r:id="rId25">
        <w:r w:rsidRPr="000F225B">
          <w:rPr>
            <w:i/>
            <w:color w:val="0000FF"/>
            <w:u w:val="single"/>
          </w:rPr>
          <w:t>gerald.klec@eesc.europa.eu</w:t>
        </w:r>
      </w:hyperlink>
      <w:r w:rsidRPr="000F225B">
        <w:rPr>
          <w:i/>
        </w:rPr>
        <w:t>)</w:t>
      </w:r>
    </w:p>
    <w:p w:rsidR="00556040" w:rsidRPr="000F225B" w:rsidRDefault="00556040" w:rsidP="00C22360">
      <w:pPr>
        <w:overflowPunct/>
        <w:autoSpaceDE/>
        <w:autoSpaceDN/>
        <w:adjustRightInd/>
        <w:jc w:val="left"/>
        <w:textAlignment w:val="auto"/>
      </w:pPr>
    </w:p>
    <w:p w:rsidR="00921023" w:rsidRPr="000F225B" w:rsidRDefault="00921023">
      <w:pPr>
        <w:overflowPunct/>
        <w:autoSpaceDE/>
        <w:autoSpaceDN/>
        <w:adjustRightInd/>
        <w:spacing w:line="240" w:lineRule="auto"/>
        <w:jc w:val="left"/>
        <w:textAlignment w:val="auto"/>
      </w:pPr>
      <w:r w:rsidRPr="000F225B">
        <w:br w:type="page"/>
      </w:r>
    </w:p>
    <w:p w:rsidR="00B50F6E" w:rsidRPr="000F225B" w:rsidRDefault="00B50F6E" w:rsidP="00C22360">
      <w:pPr>
        <w:pStyle w:val="Heading1"/>
        <w:keepNext/>
        <w:ind w:left="567" w:hanging="567"/>
        <w:rPr>
          <w:b/>
          <w:caps/>
        </w:rPr>
      </w:pPr>
      <w:bookmarkStart w:id="3" w:name="_Toc494363431"/>
      <w:bookmarkStart w:id="4" w:name="_Toc494368876"/>
      <w:bookmarkStart w:id="5" w:name="_Toc494368877"/>
      <w:bookmarkStart w:id="6" w:name="_Toc495316878"/>
      <w:bookmarkEnd w:id="3"/>
      <w:bookmarkEnd w:id="4"/>
      <w:r w:rsidRPr="000F225B">
        <w:rPr>
          <w:b/>
          <w:caps/>
        </w:rPr>
        <w:t>EU:</w:t>
      </w:r>
      <w:r w:rsidR="000F1EAC" w:rsidRPr="000F225B">
        <w:rPr>
          <w:b/>
          <w:caps/>
        </w:rPr>
        <w:t>S</w:t>
      </w:r>
      <w:r w:rsidRPr="000F225B">
        <w:rPr>
          <w:b/>
          <w:caps/>
        </w:rPr>
        <w:t xml:space="preserve"> lagstiftning/konsekvensanalys</w:t>
      </w:r>
      <w:bookmarkEnd w:id="5"/>
      <w:bookmarkEnd w:id="6"/>
    </w:p>
    <w:p w:rsidR="006D311D" w:rsidRPr="000F225B" w:rsidRDefault="006D311D" w:rsidP="00C22360">
      <w:pPr>
        <w:keepNext/>
        <w:textAlignment w:val="auto"/>
        <w:rPr>
          <w:i/>
          <w:iCs/>
          <w:szCs w:val="22"/>
          <w:u w:val="single"/>
        </w:rPr>
      </w:pPr>
    </w:p>
    <w:p w:rsidR="006D311D" w:rsidRPr="000F225B" w:rsidRDefault="006D311D" w:rsidP="00CC19E0">
      <w:pPr>
        <w:pStyle w:val="ListParagraph"/>
        <w:keepNext/>
        <w:numPr>
          <w:ilvl w:val="0"/>
          <w:numId w:val="64"/>
        </w:numPr>
        <w:rPr>
          <w:sz w:val="24"/>
          <w:szCs w:val="24"/>
        </w:rPr>
      </w:pPr>
      <w:r w:rsidRPr="000F225B">
        <w:rPr>
          <w:b/>
          <w:i/>
          <w:sz w:val="28"/>
        </w:rPr>
        <w:t>Insyn, metod och resurser för konsekvensbedömningar</w:t>
      </w:r>
    </w:p>
    <w:p w:rsidR="006D311D" w:rsidRPr="000F225B" w:rsidRDefault="006D311D" w:rsidP="00C22360">
      <w:pPr>
        <w:keepNext/>
        <w:tabs>
          <w:tab w:val="center" w:pos="284"/>
        </w:tabs>
        <w:ind w:left="266" w:hanging="266"/>
        <w:rPr>
          <w:b/>
        </w:rPr>
      </w:pPr>
    </w:p>
    <w:p w:rsidR="006D311D" w:rsidRPr="000F225B" w:rsidRDefault="006D311D" w:rsidP="00C22360">
      <w:pPr>
        <w:keepNext/>
        <w:tabs>
          <w:tab w:val="center" w:pos="284"/>
          <w:tab w:val="left" w:pos="1701"/>
        </w:tabs>
        <w:ind w:left="266" w:hanging="266"/>
      </w:pPr>
      <w:r w:rsidRPr="000F225B">
        <w:rPr>
          <w:b/>
        </w:rPr>
        <w:t>Föredragande:</w:t>
      </w:r>
      <w:r w:rsidRPr="000F225B">
        <w:tab/>
        <w:t>Denis Meynent (Arbetstagargruppen – FR)</w:t>
      </w:r>
    </w:p>
    <w:p w:rsidR="006D311D" w:rsidRPr="000F225B" w:rsidRDefault="006D311D" w:rsidP="00C22360">
      <w:pPr>
        <w:keepNext/>
        <w:tabs>
          <w:tab w:val="center" w:pos="284"/>
          <w:tab w:val="left" w:pos="1701"/>
        </w:tabs>
        <w:ind w:left="266" w:hanging="266"/>
        <w:rPr>
          <w:b/>
        </w:rPr>
      </w:pPr>
    </w:p>
    <w:p w:rsidR="00916ADD" w:rsidRPr="000F225B" w:rsidRDefault="006D311D" w:rsidP="00C22360">
      <w:pPr>
        <w:keepNext/>
        <w:tabs>
          <w:tab w:val="center" w:pos="284"/>
          <w:tab w:val="left" w:pos="1701"/>
        </w:tabs>
        <w:ind w:left="266" w:hanging="266"/>
      </w:pPr>
      <w:r w:rsidRPr="000F225B">
        <w:rPr>
          <w:b/>
        </w:rPr>
        <w:t>Referens:</w:t>
      </w:r>
      <w:r w:rsidRPr="000F225B">
        <w:tab/>
        <w:t>Yttranden på eget initiativ</w:t>
      </w:r>
    </w:p>
    <w:p w:rsidR="006D311D" w:rsidRPr="000F225B" w:rsidRDefault="00916ADD">
      <w:pPr>
        <w:tabs>
          <w:tab w:val="center" w:pos="284"/>
          <w:tab w:val="left" w:pos="1701"/>
        </w:tabs>
        <w:ind w:left="266" w:hanging="266"/>
        <w:rPr>
          <w:szCs w:val="22"/>
        </w:rPr>
      </w:pPr>
      <w:r w:rsidRPr="000F225B">
        <w:tab/>
      </w:r>
      <w:r w:rsidRPr="000F225B">
        <w:tab/>
      </w:r>
      <w:r w:rsidRPr="000F225B">
        <w:tab/>
        <w:t>EESC-2017-01443-00-00-AC-TRA</w:t>
      </w:r>
    </w:p>
    <w:p w:rsidR="006D311D" w:rsidRPr="000F225B" w:rsidRDefault="006D311D">
      <w:pPr>
        <w:tabs>
          <w:tab w:val="center" w:pos="284"/>
        </w:tabs>
        <w:ind w:left="266" w:hanging="266"/>
      </w:pPr>
    </w:p>
    <w:p w:rsidR="006D311D" w:rsidRPr="000F225B" w:rsidRDefault="006D311D" w:rsidP="00C22360">
      <w:pPr>
        <w:keepNext/>
        <w:tabs>
          <w:tab w:val="center" w:pos="284"/>
        </w:tabs>
        <w:ind w:left="266" w:hanging="266"/>
        <w:rPr>
          <w:b/>
          <w:szCs w:val="22"/>
        </w:rPr>
      </w:pPr>
      <w:r w:rsidRPr="000F225B">
        <w:rPr>
          <w:b/>
        </w:rPr>
        <w:t>Huvudpunkter:</w:t>
      </w:r>
    </w:p>
    <w:p w:rsidR="006D311D" w:rsidRPr="000F225B" w:rsidRDefault="006D311D" w:rsidP="00C22360">
      <w:pPr>
        <w:keepNext/>
        <w:rPr>
          <w:b/>
          <w:szCs w:val="22"/>
        </w:rPr>
      </w:pPr>
    </w:p>
    <w:p w:rsidR="006D311D" w:rsidRPr="000F225B" w:rsidRDefault="006D311D" w:rsidP="00C22360">
      <w:pPr>
        <w:keepNext/>
        <w:jc w:val="left"/>
        <w:rPr>
          <w:szCs w:val="22"/>
        </w:rPr>
      </w:pPr>
      <w:r w:rsidRPr="000F225B">
        <w:t>EESK:s ståndpunkt:</w:t>
      </w:r>
    </w:p>
    <w:p w:rsidR="006D311D" w:rsidRPr="000F225B" w:rsidRDefault="006D311D" w:rsidP="00C22360">
      <w:pPr>
        <w:numPr>
          <w:ilvl w:val="0"/>
          <w:numId w:val="2"/>
        </w:numPr>
        <w:ind w:hanging="567"/>
        <w:rPr>
          <w:szCs w:val="22"/>
        </w:rPr>
      </w:pPr>
      <w:r w:rsidRPr="000F225B">
        <w:t>Konsekvensbedömningarna av alla lagstiftningsförslag bör integreras och hänsyn bör tas till betydelsen av den ekonomiska, sociala och miljömässiga dimensionen, bl.a. för små och medelstora företag.</w:t>
      </w:r>
    </w:p>
    <w:p w:rsidR="006D311D" w:rsidRPr="000F225B" w:rsidRDefault="006D311D" w:rsidP="00C22360">
      <w:pPr>
        <w:numPr>
          <w:ilvl w:val="0"/>
          <w:numId w:val="2"/>
        </w:numPr>
        <w:ind w:hanging="567"/>
        <w:rPr>
          <w:szCs w:val="22"/>
        </w:rPr>
      </w:pPr>
      <w:r w:rsidRPr="000F225B">
        <w:t>Kommittén uppmanar parlamentet, rådet och Europeiska kommissionen att komma överens om en gemensam metod för undersökningar och konsekvensbedömningar som också skulle kunna fungera som vägledning för kommittén.</w:t>
      </w:r>
    </w:p>
    <w:p w:rsidR="006D311D" w:rsidRPr="000F225B" w:rsidRDefault="006D311D" w:rsidP="00C22360">
      <w:pPr>
        <w:numPr>
          <w:ilvl w:val="0"/>
          <w:numId w:val="2"/>
        </w:numPr>
        <w:ind w:hanging="567"/>
        <w:rPr>
          <w:szCs w:val="22"/>
        </w:rPr>
      </w:pPr>
      <w:r w:rsidRPr="000F225B">
        <w:t>Kommittén upprepar att man är mycket oroad över påståendena om bristerna avseende de sociala eller miljömässiga konsekvensanalyserna och uppföljningen av samråden och vill uppmana kommissionen att visa prov på större öppenhet och att motivera varför en bestämmelse eller ett förslag till bestämmelse ska – alternativt inte ska – bli föremål för en konsekvensbedömning eller en utvärdering i efterhand.</w:t>
      </w:r>
    </w:p>
    <w:p w:rsidR="006D311D" w:rsidRPr="000F225B" w:rsidRDefault="006D311D">
      <w:pPr>
        <w:rPr>
          <w:szCs w:val="24"/>
        </w:rPr>
      </w:pPr>
    </w:p>
    <w:p w:rsidR="006D311D" w:rsidRPr="000F225B" w:rsidRDefault="006D311D" w:rsidP="00C22360">
      <w:pPr>
        <w:keepNext/>
        <w:tabs>
          <w:tab w:val="left" w:pos="1134"/>
        </w:tabs>
        <w:textAlignment w:val="auto"/>
        <w:rPr>
          <w:i/>
        </w:rPr>
      </w:pPr>
      <w:r w:rsidRPr="000F225B">
        <w:rPr>
          <w:b/>
          <w:i/>
        </w:rPr>
        <w:t>Kontaktperson</w:t>
      </w:r>
      <w:r w:rsidRPr="000F225B">
        <w:t>:</w:t>
      </w:r>
      <w:r w:rsidRPr="000F225B">
        <w:tab/>
      </w:r>
      <w:r w:rsidRPr="000F225B">
        <w:rPr>
          <w:i/>
        </w:rPr>
        <w:t>Jean-Pierre Faure</w:t>
      </w:r>
    </w:p>
    <w:p w:rsidR="006D311D" w:rsidRPr="000F225B" w:rsidRDefault="00916ADD">
      <w:pPr>
        <w:tabs>
          <w:tab w:val="left" w:pos="1134"/>
        </w:tabs>
        <w:rPr>
          <w:i/>
        </w:rPr>
      </w:pPr>
      <w:r w:rsidRPr="000F225B">
        <w:tab/>
      </w:r>
      <w:r w:rsidRPr="000F225B">
        <w:rPr>
          <w:i/>
        </w:rPr>
        <w:t xml:space="preserve">(Tfn +32 25469615 – e-post: </w:t>
      </w:r>
      <w:hyperlink r:id="rId26">
        <w:r w:rsidRPr="000F225B">
          <w:rPr>
            <w:i/>
            <w:color w:val="0000FF"/>
            <w:u w:val="single"/>
          </w:rPr>
          <w:t>jean-pierre.faure@eesc.europa.eu</w:t>
        </w:r>
      </w:hyperlink>
      <w:r w:rsidRPr="000F225B">
        <w:rPr>
          <w:i/>
        </w:rPr>
        <w:t>)</w:t>
      </w:r>
    </w:p>
    <w:p w:rsidR="00916ADD" w:rsidRPr="000F225B" w:rsidRDefault="00916ADD">
      <w:pPr>
        <w:rPr>
          <w:i/>
        </w:rPr>
      </w:pPr>
    </w:p>
    <w:p w:rsidR="00921023" w:rsidRPr="000F225B" w:rsidRDefault="00921023">
      <w:pPr>
        <w:overflowPunct/>
        <w:autoSpaceDE/>
        <w:autoSpaceDN/>
        <w:adjustRightInd/>
        <w:spacing w:line="240" w:lineRule="auto"/>
        <w:jc w:val="left"/>
        <w:textAlignment w:val="auto"/>
      </w:pPr>
      <w:r w:rsidRPr="000F225B">
        <w:br w:type="page"/>
      </w:r>
    </w:p>
    <w:p w:rsidR="00B50F6E" w:rsidRPr="000F225B" w:rsidRDefault="00B50F6E" w:rsidP="00C22360">
      <w:pPr>
        <w:pStyle w:val="Heading1"/>
        <w:keepNext/>
        <w:ind w:left="567" w:hanging="567"/>
        <w:rPr>
          <w:b/>
          <w:caps/>
        </w:rPr>
      </w:pPr>
      <w:bookmarkStart w:id="7" w:name="_Toc494368878"/>
      <w:bookmarkStart w:id="8" w:name="_Toc494368879"/>
      <w:bookmarkStart w:id="9" w:name="_Toc495316879"/>
      <w:bookmarkEnd w:id="7"/>
      <w:r w:rsidRPr="000F225B">
        <w:rPr>
          <w:b/>
          <w:caps/>
        </w:rPr>
        <w:t>Tullunionen</w:t>
      </w:r>
      <w:bookmarkStart w:id="10" w:name="_Toc487801311"/>
      <w:bookmarkStart w:id="11" w:name="_Toc487801312"/>
      <w:bookmarkStart w:id="12" w:name="_Toc486584274"/>
      <w:bookmarkStart w:id="13" w:name="_Toc486584338"/>
      <w:bookmarkStart w:id="14" w:name="_Toc486584426"/>
      <w:bookmarkStart w:id="15" w:name="_Toc486584611"/>
      <w:bookmarkStart w:id="16" w:name="_Toc486584275"/>
      <w:bookmarkStart w:id="17" w:name="_Toc486584339"/>
      <w:bookmarkStart w:id="18" w:name="_Toc486584427"/>
      <w:bookmarkStart w:id="19" w:name="_Toc486584612"/>
      <w:bookmarkEnd w:id="10"/>
      <w:bookmarkEnd w:id="11"/>
      <w:bookmarkEnd w:id="12"/>
      <w:bookmarkEnd w:id="13"/>
      <w:bookmarkEnd w:id="14"/>
      <w:bookmarkEnd w:id="15"/>
      <w:bookmarkEnd w:id="16"/>
      <w:bookmarkEnd w:id="17"/>
      <w:bookmarkEnd w:id="18"/>
      <w:bookmarkEnd w:id="19"/>
      <w:bookmarkEnd w:id="8"/>
      <w:bookmarkEnd w:id="9"/>
    </w:p>
    <w:p w:rsidR="006D311D" w:rsidRPr="000F225B" w:rsidRDefault="006D311D" w:rsidP="00C22360">
      <w:pPr>
        <w:keepNext/>
        <w:textAlignment w:val="auto"/>
        <w:rPr>
          <w:i/>
          <w:iCs/>
          <w:szCs w:val="22"/>
          <w:u w:val="single"/>
        </w:rPr>
      </w:pPr>
    </w:p>
    <w:p w:rsidR="006D311D" w:rsidRPr="000F225B" w:rsidRDefault="006D311D" w:rsidP="00CC19E0">
      <w:pPr>
        <w:pStyle w:val="ListParagraph"/>
        <w:keepNext/>
        <w:numPr>
          <w:ilvl w:val="0"/>
          <w:numId w:val="65"/>
        </w:numPr>
        <w:rPr>
          <w:sz w:val="24"/>
          <w:szCs w:val="24"/>
        </w:rPr>
      </w:pPr>
      <w:r w:rsidRPr="000F225B">
        <w:rPr>
          <w:b/>
          <w:i/>
          <w:sz w:val="28"/>
        </w:rPr>
        <w:t>Tullunion/styrning</w:t>
      </w:r>
    </w:p>
    <w:p w:rsidR="006D311D" w:rsidRPr="000F225B" w:rsidRDefault="006D311D" w:rsidP="00C22360">
      <w:pPr>
        <w:keepNext/>
        <w:tabs>
          <w:tab w:val="center" w:pos="284"/>
        </w:tabs>
        <w:ind w:left="266" w:hanging="266"/>
        <w:rPr>
          <w:b/>
        </w:rPr>
      </w:pPr>
    </w:p>
    <w:p w:rsidR="006D311D" w:rsidRPr="000F225B" w:rsidRDefault="006D311D" w:rsidP="00C22360">
      <w:pPr>
        <w:keepNext/>
        <w:tabs>
          <w:tab w:val="center" w:pos="284"/>
          <w:tab w:val="left" w:pos="1701"/>
        </w:tabs>
        <w:ind w:left="266" w:hanging="266"/>
      </w:pPr>
      <w:r w:rsidRPr="000F225B">
        <w:rPr>
          <w:b/>
        </w:rPr>
        <w:t>Föredragande:</w:t>
      </w:r>
      <w:r w:rsidRPr="000F225B">
        <w:tab/>
        <w:t>Dimitris Dimitriadis (Arbetsgivargruppen – EL)</w:t>
      </w:r>
    </w:p>
    <w:p w:rsidR="006D311D" w:rsidRPr="000F225B" w:rsidRDefault="006D311D" w:rsidP="00C22360">
      <w:pPr>
        <w:keepNext/>
        <w:tabs>
          <w:tab w:val="center" w:pos="284"/>
          <w:tab w:val="left" w:pos="1701"/>
        </w:tabs>
        <w:ind w:left="266" w:hanging="266"/>
        <w:rPr>
          <w:b/>
        </w:rPr>
      </w:pPr>
    </w:p>
    <w:p w:rsidR="00916ADD" w:rsidRPr="000F225B" w:rsidRDefault="006D311D" w:rsidP="00C22360">
      <w:pPr>
        <w:keepNext/>
        <w:tabs>
          <w:tab w:val="center" w:pos="284"/>
          <w:tab w:val="left" w:pos="1701"/>
        </w:tabs>
        <w:ind w:left="266" w:hanging="266"/>
      </w:pPr>
      <w:r w:rsidRPr="000F225B">
        <w:rPr>
          <w:b/>
        </w:rPr>
        <w:t>Referens:</w:t>
      </w:r>
      <w:r w:rsidRPr="000F225B">
        <w:tab/>
        <w:t>COM(2016) 813 final</w:t>
      </w:r>
    </w:p>
    <w:p w:rsidR="006D311D" w:rsidRPr="000F225B" w:rsidRDefault="00916ADD">
      <w:pPr>
        <w:tabs>
          <w:tab w:val="center" w:pos="284"/>
          <w:tab w:val="left" w:pos="1701"/>
        </w:tabs>
        <w:ind w:left="266" w:hanging="266"/>
      </w:pPr>
      <w:r w:rsidRPr="000F225B">
        <w:tab/>
      </w:r>
      <w:r w:rsidRPr="000F225B">
        <w:tab/>
      </w:r>
      <w:r w:rsidRPr="000F225B">
        <w:tab/>
        <w:t>EESC-2017-00766-00-00-AC-TRA</w:t>
      </w:r>
    </w:p>
    <w:p w:rsidR="006D311D" w:rsidRPr="000F225B" w:rsidRDefault="006D311D">
      <w:pPr>
        <w:tabs>
          <w:tab w:val="center" w:pos="284"/>
        </w:tabs>
        <w:ind w:left="266" w:hanging="266"/>
      </w:pPr>
    </w:p>
    <w:p w:rsidR="006D311D" w:rsidRPr="000F225B" w:rsidRDefault="006D311D" w:rsidP="00C22360">
      <w:pPr>
        <w:keepNext/>
        <w:tabs>
          <w:tab w:val="center" w:pos="284"/>
        </w:tabs>
        <w:ind w:left="266" w:hanging="266"/>
        <w:rPr>
          <w:b/>
          <w:szCs w:val="22"/>
        </w:rPr>
      </w:pPr>
      <w:r w:rsidRPr="000F225B">
        <w:rPr>
          <w:b/>
        </w:rPr>
        <w:t>Huvudpunkter:</w:t>
      </w:r>
    </w:p>
    <w:p w:rsidR="006D311D" w:rsidRPr="000F225B" w:rsidRDefault="006D311D" w:rsidP="00C22360">
      <w:pPr>
        <w:keepNext/>
        <w:rPr>
          <w:b/>
          <w:szCs w:val="22"/>
        </w:rPr>
      </w:pPr>
    </w:p>
    <w:p w:rsidR="006D311D" w:rsidRPr="000F225B" w:rsidRDefault="006D311D" w:rsidP="00C22360">
      <w:pPr>
        <w:keepNext/>
        <w:rPr>
          <w:szCs w:val="22"/>
        </w:rPr>
      </w:pPr>
      <w:r w:rsidRPr="000F225B">
        <w:t>EESK instämmer med kommissionens förslag om att utveckla tullunionens styrning, men vill framföra följande synpunkter:</w:t>
      </w:r>
    </w:p>
    <w:p w:rsidR="006D311D" w:rsidRPr="000F225B" w:rsidRDefault="006D311D" w:rsidP="00C22360">
      <w:pPr>
        <w:numPr>
          <w:ilvl w:val="0"/>
          <w:numId w:val="38"/>
        </w:numPr>
        <w:ind w:left="567" w:hanging="567"/>
        <w:contextualSpacing/>
        <w:rPr>
          <w:szCs w:val="22"/>
        </w:rPr>
      </w:pPr>
      <w:r w:rsidRPr="000F225B">
        <w:t>Det krävs reformer på flera nivåer och kraftfulla tekniska åtgärder.</w:t>
      </w:r>
    </w:p>
    <w:p w:rsidR="006D311D" w:rsidRPr="000F225B" w:rsidRDefault="006D311D" w:rsidP="00C22360">
      <w:pPr>
        <w:numPr>
          <w:ilvl w:val="0"/>
          <w:numId w:val="38"/>
        </w:numPr>
        <w:ind w:left="567" w:hanging="567"/>
        <w:contextualSpacing/>
        <w:rPr>
          <w:szCs w:val="22"/>
        </w:rPr>
      </w:pPr>
      <w:r w:rsidRPr="000F225B">
        <w:t>Det krävs en övergång till automatisk centraliserad klarering för att underlätta samordningen av åtgärder för att förebygga och motverka brottslighet och skydda EU:s finansiella intressen, så att företagens och de europeiska konsumenternas rättigheter, intressen och säkerhet kan skyddas. Därför efterlyser vi inrättandet av en europeisk åklagarmyndighet, som skulle kunna lämna ett positivt bidrag till detta.</w:t>
      </w:r>
    </w:p>
    <w:p w:rsidR="006D311D" w:rsidRPr="000F225B" w:rsidRDefault="006D311D" w:rsidP="00C22360">
      <w:pPr>
        <w:numPr>
          <w:ilvl w:val="0"/>
          <w:numId w:val="38"/>
        </w:numPr>
        <w:ind w:left="567" w:hanging="567"/>
        <w:contextualSpacing/>
        <w:rPr>
          <w:szCs w:val="22"/>
        </w:rPr>
      </w:pPr>
      <w:r w:rsidRPr="000F225B">
        <w:t>Den decentraliserade operativa modellens funktion måste stärkas genom administrativt samarbete, med central samordning via ett stödorgan eller en organisation under kommissionens ledning. Dessutom bör tullpolicygruppen involveras, för att hjälpa till med problem med genomförandet av unionens tullkodex.</w:t>
      </w:r>
    </w:p>
    <w:p w:rsidR="006D311D" w:rsidRPr="000F225B" w:rsidRDefault="006D311D">
      <w:pPr>
        <w:tabs>
          <w:tab w:val="left" w:pos="1701"/>
        </w:tabs>
        <w:rPr>
          <w:szCs w:val="24"/>
        </w:rPr>
      </w:pPr>
    </w:p>
    <w:p w:rsidR="006D311D" w:rsidRPr="000F225B" w:rsidRDefault="006D311D" w:rsidP="00C22360">
      <w:pPr>
        <w:keepNext/>
        <w:tabs>
          <w:tab w:val="left" w:pos="1134"/>
        </w:tabs>
        <w:textAlignment w:val="auto"/>
        <w:rPr>
          <w:i/>
        </w:rPr>
      </w:pPr>
      <w:r w:rsidRPr="000F225B">
        <w:rPr>
          <w:b/>
          <w:i/>
        </w:rPr>
        <w:t>Kontaktperson</w:t>
      </w:r>
      <w:r w:rsidRPr="000F225B">
        <w:t>:</w:t>
      </w:r>
      <w:r w:rsidRPr="000F225B">
        <w:tab/>
      </w:r>
      <w:r w:rsidRPr="000F225B">
        <w:rPr>
          <w:i/>
        </w:rPr>
        <w:t>Jana Valant</w:t>
      </w:r>
    </w:p>
    <w:p w:rsidR="00B50F6E" w:rsidRPr="000F225B" w:rsidRDefault="00916ADD">
      <w:pPr>
        <w:tabs>
          <w:tab w:val="left" w:pos="1134"/>
        </w:tabs>
      </w:pPr>
      <w:r w:rsidRPr="000F225B">
        <w:tab/>
      </w:r>
      <w:r w:rsidRPr="000F225B">
        <w:rPr>
          <w:i/>
        </w:rPr>
        <w:t xml:space="preserve">(Tfn: +32 25468924 – e-post: </w:t>
      </w:r>
      <w:hyperlink r:id="rId27">
        <w:r w:rsidRPr="000F225B">
          <w:rPr>
            <w:i/>
            <w:color w:val="0000FF"/>
            <w:u w:val="single"/>
          </w:rPr>
          <w:t>jana.valant@eesc.europa.eu</w:t>
        </w:r>
      </w:hyperlink>
      <w:r w:rsidRPr="000F225B">
        <w:t>)</w:t>
      </w:r>
    </w:p>
    <w:p w:rsidR="00D96879" w:rsidRPr="000F225B" w:rsidRDefault="00D96879">
      <w:pPr>
        <w:overflowPunct/>
        <w:autoSpaceDE/>
        <w:autoSpaceDN/>
        <w:adjustRightInd/>
        <w:spacing w:line="240" w:lineRule="auto"/>
        <w:jc w:val="left"/>
        <w:textAlignment w:val="auto"/>
      </w:pPr>
      <w:r w:rsidRPr="000F225B">
        <w:br w:type="page"/>
      </w:r>
    </w:p>
    <w:p w:rsidR="006A31EB" w:rsidRPr="000F225B" w:rsidRDefault="008860BD" w:rsidP="00C22360">
      <w:pPr>
        <w:pStyle w:val="Heading1"/>
        <w:keepNext/>
        <w:ind w:left="851" w:hanging="851"/>
        <w:rPr>
          <w:b/>
          <w:caps/>
        </w:rPr>
      </w:pPr>
      <w:bookmarkStart w:id="20" w:name="_Toc494368880"/>
      <w:bookmarkStart w:id="21" w:name="_Toc494368881"/>
      <w:bookmarkStart w:id="22" w:name="_Toc494368882"/>
      <w:bookmarkStart w:id="23" w:name="_Toc495316880"/>
      <w:bookmarkEnd w:id="20"/>
      <w:bookmarkEnd w:id="21"/>
      <w:r w:rsidRPr="000F225B">
        <w:rPr>
          <w:b/>
          <w:caps/>
        </w:rPr>
        <w:t>Innovation/digitalisering</w:t>
      </w:r>
      <w:bookmarkEnd w:id="22"/>
      <w:bookmarkEnd w:id="23"/>
    </w:p>
    <w:p w:rsidR="006D311D" w:rsidRPr="000F225B" w:rsidRDefault="006D311D" w:rsidP="00C22360">
      <w:pPr>
        <w:keepNext/>
        <w:textAlignment w:val="auto"/>
        <w:rPr>
          <w:i/>
          <w:iCs/>
          <w:szCs w:val="22"/>
          <w:u w:val="single"/>
        </w:rPr>
      </w:pPr>
    </w:p>
    <w:p w:rsidR="006D311D" w:rsidRPr="000F225B" w:rsidRDefault="006D311D" w:rsidP="00CC19E0">
      <w:pPr>
        <w:pStyle w:val="ListParagraph"/>
        <w:keepNext/>
        <w:numPr>
          <w:ilvl w:val="0"/>
          <w:numId w:val="66"/>
        </w:numPr>
        <w:rPr>
          <w:sz w:val="24"/>
          <w:szCs w:val="24"/>
        </w:rPr>
      </w:pPr>
      <w:r w:rsidRPr="000F225B">
        <w:rPr>
          <w:b/>
          <w:i/>
          <w:sz w:val="28"/>
        </w:rPr>
        <w:t>Effekterna på sjukförsäkringen av den digitala revolutionen på hälso- och sjukvårdsområdet</w:t>
      </w:r>
    </w:p>
    <w:p w:rsidR="006D311D" w:rsidRPr="000F225B" w:rsidRDefault="006D311D" w:rsidP="00C22360">
      <w:pPr>
        <w:keepNext/>
        <w:tabs>
          <w:tab w:val="center" w:pos="0"/>
          <w:tab w:val="left" w:pos="1701"/>
        </w:tabs>
        <w:ind w:left="266" w:hanging="266"/>
        <w:rPr>
          <w:b/>
        </w:rPr>
      </w:pPr>
    </w:p>
    <w:p w:rsidR="006D311D" w:rsidRPr="000F225B" w:rsidRDefault="006D311D" w:rsidP="00C22360">
      <w:pPr>
        <w:keepNext/>
        <w:tabs>
          <w:tab w:val="center" w:pos="0"/>
          <w:tab w:val="left" w:pos="1701"/>
        </w:tabs>
        <w:ind w:left="266" w:hanging="266"/>
      </w:pPr>
      <w:r w:rsidRPr="000F225B">
        <w:rPr>
          <w:b/>
        </w:rPr>
        <w:t>Föredragande:</w:t>
      </w:r>
      <w:r w:rsidRPr="000F225B">
        <w:tab/>
        <w:t>Alain Coheur (Arbetstagargruppen – BE)</w:t>
      </w:r>
    </w:p>
    <w:p w:rsidR="006D311D" w:rsidRPr="000F225B" w:rsidRDefault="006D311D" w:rsidP="00C22360">
      <w:pPr>
        <w:keepNext/>
        <w:tabs>
          <w:tab w:val="center" w:pos="0"/>
          <w:tab w:val="left" w:pos="1701"/>
        </w:tabs>
        <w:ind w:left="266" w:hanging="266"/>
        <w:rPr>
          <w:b/>
        </w:rPr>
      </w:pPr>
    </w:p>
    <w:p w:rsidR="001D00DF" w:rsidRPr="000F225B" w:rsidRDefault="006D311D" w:rsidP="00C22360">
      <w:pPr>
        <w:keepNext/>
        <w:tabs>
          <w:tab w:val="center" w:pos="0"/>
          <w:tab w:val="left" w:pos="1701"/>
        </w:tabs>
        <w:ind w:left="266" w:hanging="266"/>
      </w:pPr>
      <w:r w:rsidRPr="000F225B">
        <w:rPr>
          <w:b/>
        </w:rPr>
        <w:t>Referens:</w:t>
      </w:r>
      <w:r w:rsidRPr="000F225B">
        <w:tab/>
        <w:t>Yttranden på eget initiativ</w:t>
      </w:r>
    </w:p>
    <w:p w:rsidR="006D311D" w:rsidRPr="000F225B" w:rsidRDefault="001D00DF">
      <w:pPr>
        <w:tabs>
          <w:tab w:val="center" w:pos="0"/>
          <w:tab w:val="left" w:pos="1701"/>
        </w:tabs>
        <w:ind w:left="266" w:hanging="266"/>
        <w:rPr>
          <w:szCs w:val="22"/>
        </w:rPr>
      </w:pPr>
      <w:r w:rsidRPr="000F225B">
        <w:tab/>
      </w:r>
      <w:r w:rsidRPr="000F225B">
        <w:tab/>
        <w:t>EESC-2017-01370-00-01-AC-TRA</w:t>
      </w:r>
    </w:p>
    <w:p w:rsidR="006D311D" w:rsidRPr="000F225B" w:rsidRDefault="006D311D">
      <w:pPr>
        <w:tabs>
          <w:tab w:val="center" w:pos="284"/>
        </w:tabs>
        <w:ind w:left="266" w:hanging="266"/>
      </w:pPr>
    </w:p>
    <w:p w:rsidR="006D311D" w:rsidRPr="000F225B" w:rsidRDefault="006D311D" w:rsidP="00C22360">
      <w:pPr>
        <w:keepNext/>
        <w:tabs>
          <w:tab w:val="center" w:pos="284"/>
        </w:tabs>
        <w:ind w:left="266" w:hanging="266"/>
        <w:rPr>
          <w:b/>
          <w:szCs w:val="22"/>
        </w:rPr>
      </w:pPr>
      <w:r w:rsidRPr="000F225B">
        <w:rPr>
          <w:b/>
        </w:rPr>
        <w:t>Huvudpunkter:</w:t>
      </w:r>
    </w:p>
    <w:p w:rsidR="006D311D" w:rsidRPr="000F225B" w:rsidRDefault="006D311D" w:rsidP="00C22360">
      <w:pPr>
        <w:keepNext/>
        <w:rPr>
          <w:b/>
          <w:szCs w:val="22"/>
        </w:rPr>
      </w:pPr>
    </w:p>
    <w:p w:rsidR="006D311D" w:rsidRPr="000F225B" w:rsidRDefault="006D311D" w:rsidP="00C22360">
      <w:pPr>
        <w:keepNext/>
        <w:rPr>
          <w:szCs w:val="22"/>
        </w:rPr>
      </w:pPr>
      <w:r w:rsidRPr="000F225B">
        <w:t>Digitaliseringen kan enligt EESK bidra till att skapa lika tillgång till hälso- och sjukvård, ett av de centrala målen inom hälso- och sjukvårdspolitiken, om följande villkor uppfylls:</w:t>
      </w:r>
    </w:p>
    <w:p w:rsidR="006D311D" w:rsidRPr="000F225B" w:rsidRDefault="006D311D" w:rsidP="00C22360">
      <w:pPr>
        <w:numPr>
          <w:ilvl w:val="0"/>
          <w:numId w:val="40"/>
        </w:numPr>
        <w:ind w:left="567" w:hanging="567"/>
        <w:contextualSpacing/>
        <w:rPr>
          <w:szCs w:val="22"/>
        </w:rPr>
      </w:pPr>
      <w:r w:rsidRPr="000F225B">
        <w:t>Lika tillgång för alla geografiska områden.</w:t>
      </w:r>
    </w:p>
    <w:p w:rsidR="006D311D" w:rsidRPr="000F225B" w:rsidRDefault="006D311D" w:rsidP="00C22360">
      <w:pPr>
        <w:numPr>
          <w:ilvl w:val="0"/>
          <w:numId w:val="40"/>
        </w:numPr>
        <w:ind w:left="567" w:hanging="567"/>
        <w:contextualSpacing/>
        <w:rPr>
          <w:szCs w:val="22"/>
        </w:rPr>
      </w:pPr>
      <w:r w:rsidRPr="000F225B">
        <w:t>En minskning av den digitala klyftan med avseende på användningen mellan medborgare, hälso- och sjukvårdspersonal och aktörer inom sjukförsäkringssystemen.</w:t>
      </w:r>
    </w:p>
    <w:p w:rsidR="006D311D" w:rsidRPr="000F225B" w:rsidRDefault="006D311D" w:rsidP="00C22360">
      <w:pPr>
        <w:numPr>
          <w:ilvl w:val="0"/>
          <w:numId w:val="40"/>
        </w:numPr>
        <w:ind w:left="567" w:hanging="567"/>
        <w:contextualSpacing/>
        <w:rPr>
          <w:szCs w:val="22"/>
        </w:rPr>
      </w:pPr>
      <w:r w:rsidRPr="000F225B">
        <w:t>Interoperabilitet mellan alla delar av den digitala infrastrukturen (databaser, medicintekniska produkter).</w:t>
      </w:r>
    </w:p>
    <w:p w:rsidR="006D311D" w:rsidRPr="000F225B" w:rsidRDefault="006D311D" w:rsidP="00C22360">
      <w:pPr>
        <w:numPr>
          <w:ilvl w:val="0"/>
          <w:numId w:val="40"/>
        </w:numPr>
        <w:ind w:left="567" w:hanging="567"/>
        <w:contextualSpacing/>
        <w:rPr>
          <w:szCs w:val="22"/>
        </w:rPr>
      </w:pPr>
      <w:r w:rsidRPr="000F225B">
        <w:t>Skydd av sjukvårdsuppgifter, vilka under inga omständigheter får användas till nackdel för patienterna.</w:t>
      </w:r>
    </w:p>
    <w:p w:rsidR="006D311D" w:rsidRPr="000F225B" w:rsidRDefault="006D311D">
      <w:pPr>
        <w:jc w:val="left"/>
        <w:rPr>
          <w:szCs w:val="22"/>
        </w:rPr>
      </w:pPr>
    </w:p>
    <w:p w:rsidR="006D311D" w:rsidRPr="000F225B" w:rsidRDefault="006D311D" w:rsidP="00C22360">
      <w:pPr>
        <w:keepNext/>
        <w:rPr>
          <w:szCs w:val="22"/>
        </w:rPr>
      </w:pPr>
      <w:r w:rsidRPr="000F225B">
        <w:t>EESK framhåller också att det är nödvändigt att</w:t>
      </w:r>
    </w:p>
    <w:p w:rsidR="006D311D" w:rsidRPr="000F225B" w:rsidRDefault="006D311D" w:rsidP="00C22360">
      <w:pPr>
        <w:numPr>
          <w:ilvl w:val="0"/>
          <w:numId w:val="39"/>
        </w:numPr>
        <w:ind w:left="567" w:hanging="567"/>
        <w:contextualSpacing/>
        <w:rPr>
          <w:szCs w:val="22"/>
        </w:rPr>
      </w:pPr>
      <w:r w:rsidRPr="000F225B">
        <w:t>utveckla och göra det enklare för medborgare att erhålla digital hälsokompetens, i syfte att uppmuntra en kritisk inställning till hälsoinformation,</w:t>
      </w:r>
    </w:p>
    <w:p w:rsidR="006D311D" w:rsidRPr="000F225B" w:rsidRDefault="006D311D" w:rsidP="00C22360">
      <w:pPr>
        <w:numPr>
          <w:ilvl w:val="0"/>
          <w:numId w:val="39"/>
        </w:numPr>
        <w:ind w:left="567" w:hanging="567"/>
        <w:contextualSpacing/>
        <w:rPr>
          <w:szCs w:val="22"/>
        </w:rPr>
      </w:pPr>
      <w:r w:rsidRPr="000F225B">
        <w:t>garantera hälsoinformation av god kvalitet, bland annat genom att främja införandet av märknings-/godkännandeförfaranden för hälsoapplikationer,</w:t>
      </w:r>
    </w:p>
    <w:p w:rsidR="006D311D" w:rsidRPr="000F225B" w:rsidRDefault="006D311D" w:rsidP="00C22360">
      <w:pPr>
        <w:numPr>
          <w:ilvl w:val="0"/>
          <w:numId w:val="39"/>
        </w:numPr>
        <w:ind w:left="567" w:hanging="567"/>
        <w:contextualSpacing/>
        <w:rPr>
          <w:szCs w:val="22"/>
        </w:rPr>
      </w:pPr>
      <w:r w:rsidRPr="000F225B">
        <w:t>stärka förtroendet mellan patienter, hälso- och sjukvårdspersonal och aktörer inom hälso- och sjukförsäkringssystemen,</w:t>
      </w:r>
    </w:p>
    <w:p w:rsidR="006D311D" w:rsidRPr="000F225B" w:rsidRDefault="006D311D" w:rsidP="00C22360">
      <w:pPr>
        <w:numPr>
          <w:ilvl w:val="0"/>
          <w:numId w:val="39"/>
        </w:numPr>
        <w:ind w:left="567" w:hanging="567"/>
        <w:contextualSpacing/>
        <w:rPr>
          <w:szCs w:val="22"/>
        </w:rPr>
      </w:pPr>
      <w:r w:rsidRPr="000F225B">
        <w:t>införa ett utbildningssystem som är avpassat för både användare och hälso- och sjukvårdspersonal,</w:t>
      </w:r>
    </w:p>
    <w:p w:rsidR="006D311D" w:rsidRPr="000F225B" w:rsidRDefault="006D311D" w:rsidP="00C22360">
      <w:pPr>
        <w:numPr>
          <w:ilvl w:val="0"/>
          <w:numId w:val="39"/>
        </w:numPr>
        <w:ind w:left="567" w:hanging="567"/>
        <w:contextualSpacing/>
        <w:rPr>
          <w:szCs w:val="22"/>
        </w:rPr>
      </w:pPr>
      <w:r w:rsidRPr="000F225B">
        <w:t>stödja utarbetandet av en nomenklatur för ersättningsberättigande hälso- och sjukvård och välfärdstjänster med beaktande av de tekniska innovationer som digitaliseringen möjliggör,</w:t>
      </w:r>
    </w:p>
    <w:p w:rsidR="006D311D" w:rsidRPr="000F225B" w:rsidRDefault="006D311D">
      <w:pPr>
        <w:rPr>
          <w:szCs w:val="24"/>
        </w:rPr>
      </w:pPr>
    </w:p>
    <w:p w:rsidR="006D311D" w:rsidRPr="000F225B" w:rsidRDefault="006D311D" w:rsidP="00C22360">
      <w:pPr>
        <w:keepNext/>
        <w:tabs>
          <w:tab w:val="left" w:pos="1134"/>
        </w:tabs>
        <w:textAlignment w:val="auto"/>
        <w:rPr>
          <w:i/>
        </w:rPr>
      </w:pPr>
      <w:r w:rsidRPr="000F225B">
        <w:rPr>
          <w:b/>
          <w:i/>
        </w:rPr>
        <w:t>Kontaktperson</w:t>
      </w:r>
      <w:r w:rsidRPr="000F225B">
        <w:t>:</w:t>
      </w:r>
      <w:r w:rsidRPr="000F225B">
        <w:tab/>
      </w:r>
      <w:r w:rsidRPr="000F225B">
        <w:rPr>
          <w:i/>
        </w:rPr>
        <w:t>Jana Valant</w:t>
      </w:r>
    </w:p>
    <w:p w:rsidR="00E643F2" w:rsidRPr="000F225B" w:rsidRDefault="001D00DF">
      <w:pPr>
        <w:tabs>
          <w:tab w:val="left" w:pos="1134"/>
        </w:tabs>
      </w:pPr>
      <w:r w:rsidRPr="000F225B">
        <w:tab/>
      </w:r>
      <w:r w:rsidRPr="000F225B">
        <w:rPr>
          <w:i/>
        </w:rPr>
        <w:t xml:space="preserve">(Tfn: +32 25468924 – e-post: </w:t>
      </w:r>
      <w:hyperlink r:id="rId28">
        <w:r w:rsidRPr="000F225B">
          <w:rPr>
            <w:i/>
            <w:color w:val="0000FF"/>
            <w:u w:val="single"/>
          </w:rPr>
          <w:t>jana.valant@eesc.europa.eu</w:t>
        </w:r>
      </w:hyperlink>
      <w:r w:rsidRPr="000F225B">
        <w:t>)</w:t>
      </w:r>
    </w:p>
    <w:p w:rsidR="00556040" w:rsidRPr="000F225B" w:rsidRDefault="00556040">
      <w:bookmarkStart w:id="24" w:name="_Toc487801298"/>
      <w:bookmarkStart w:id="25" w:name="_Toc487801299"/>
      <w:bookmarkStart w:id="26" w:name="_Toc487801301"/>
      <w:bookmarkStart w:id="27" w:name="_Toc486584266"/>
      <w:bookmarkStart w:id="28" w:name="_Toc486584330"/>
      <w:bookmarkStart w:id="29" w:name="_Toc486584418"/>
      <w:bookmarkStart w:id="30" w:name="_Toc486584603"/>
      <w:bookmarkEnd w:id="24"/>
      <w:bookmarkEnd w:id="25"/>
      <w:bookmarkEnd w:id="26"/>
      <w:bookmarkEnd w:id="27"/>
      <w:bookmarkEnd w:id="28"/>
      <w:bookmarkEnd w:id="29"/>
      <w:bookmarkEnd w:id="30"/>
    </w:p>
    <w:p w:rsidR="00921023" w:rsidRPr="000F225B" w:rsidRDefault="00921023">
      <w:pPr>
        <w:overflowPunct/>
        <w:autoSpaceDE/>
        <w:autoSpaceDN/>
        <w:adjustRightInd/>
        <w:spacing w:line="240" w:lineRule="auto"/>
        <w:jc w:val="left"/>
        <w:textAlignment w:val="auto"/>
      </w:pPr>
      <w:bookmarkStart w:id="31" w:name="_Toc487801303"/>
      <w:bookmarkStart w:id="32" w:name="_Toc487801304"/>
      <w:bookmarkStart w:id="33" w:name="_Toc486584268"/>
      <w:bookmarkStart w:id="34" w:name="_Toc486584332"/>
      <w:bookmarkStart w:id="35" w:name="_Toc486584420"/>
      <w:bookmarkStart w:id="36" w:name="_Toc486584605"/>
      <w:bookmarkEnd w:id="31"/>
      <w:bookmarkEnd w:id="32"/>
      <w:bookmarkEnd w:id="33"/>
      <w:bookmarkEnd w:id="34"/>
      <w:bookmarkEnd w:id="35"/>
      <w:bookmarkEnd w:id="36"/>
      <w:r w:rsidRPr="000F225B">
        <w:br w:type="page"/>
      </w:r>
    </w:p>
    <w:p w:rsidR="00B50F6E" w:rsidRPr="000F225B" w:rsidRDefault="00B50F6E" w:rsidP="00C22360">
      <w:pPr>
        <w:pStyle w:val="Heading1"/>
        <w:keepNext/>
        <w:ind w:left="567" w:hanging="567"/>
        <w:rPr>
          <w:b/>
          <w:caps/>
        </w:rPr>
      </w:pPr>
      <w:bookmarkStart w:id="37" w:name="_Toc494363435"/>
      <w:bookmarkStart w:id="38" w:name="_Toc494368883"/>
      <w:bookmarkStart w:id="39" w:name="_Toc487801306"/>
      <w:bookmarkStart w:id="40" w:name="_Toc486584270"/>
      <w:bookmarkStart w:id="41" w:name="_Toc486584334"/>
      <w:bookmarkStart w:id="42" w:name="_Toc486584422"/>
      <w:bookmarkStart w:id="43" w:name="_Toc486584607"/>
      <w:bookmarkStart w:id="44" w:name="_Toc487801308"/>
      <w:bookmarkStart w:id="45" w:name="_Toc487801309"/>
      <w:bookmarkStart w:id="46" w:name="_Toc486584272"/>
      <w:bookmarkStart w:id="47" w:name="_Toc486584336"/>
      <w:bookmarkStart w:id="48" w:name="_Toc486584424"/>
      <w:bookmarkStart w:id="49" w:name="_Toc486584609"/>
      <w:bookmarkStart w:id="50" w:name="_Toc494368884"/>
      <w:bookmarkStart w:id="51" w:name="_Toc495316881"/>
      <w:bookmarkEnd w:id="37"/>
      <w:bookmarkEnd w:id="38"/>
      <w:bookmarkEnd w:id="39"/>
      <w:bookmarkEnd w:id="40"/>
      <w:bookmarkEnd w:id="41"/>
      <w:bookmarkEnd w:id="42"/>
      <w:bookmarkEnd w:id="43"/>
      <w:bookmarkEnd w:id="44"/>
      <w:bookmarkEnd w:id="45"/>
      <w:bookmarkEnd w:id="46"/>
      <w:bookmarkEnd w:id="47"/>
      <w:bookmarkEnd w:id="48"/>
      <w:bookmarkEnd w:id="49"/>
      <w:r w:rsidRPr="000F225B">
        <w:rPr>
          <w:b/>
          <w:caps/>
        </w:rPr>
        <w:t>Arbete/sociala frågor</w:t>
      </w:r>
      <w:bookmarkEnd w:id="50"/>
      <w:bookmarkEnd w:id="51"/>
    </w:p>
    <w:p w:rsidR="00BA72BD" w:rsidRPr="000F225B" w:rsidRDefault="00BA72BD" w:rsidP="00C22360">
      <w:pPr>
        <w:keepNext/>
        <w:rPr>
          <w:highlight w:val="yellow"/>
        </w:rPr>
      </w:pPr>
    </w:p>
    <w:p w:rsidR="00BA72BD" w:rsidRPr="000F225B" w:rsidRDefault="00BA72BD" w:rsidP="00CC19E0">
      <w:pPr>
        <w:pStyle w:val="ListParagraph"/>
        <w:keepNext/>
        <w:numPr>
          <w:ilvl w:val="0"/>
          <w:numId w:val="67"/>
        </w:numPr>
        <w:rPr>
          <w:b/>
          <w:bCs/>
          <w:i/>
          <w:iCs/>
          <w:sz w:val="28"/>
          <w:szCs w:val="28"/>
        </w:rPr>
      </w:pPr>
      <w:r w:rsidRPr="000F225B">
        <w:rPr>
          <w:b/>
          <w:i/>
          <w:sz w:val="28"/>
        </w:rPr>
        <w:t>Arbetsmarknadsparternas och civilsamhällsorganisationernas roll i de nya arbetsformerna</w:t>
      </w:r>
    </w:p>
    <w:p w:rsidR="00BA72BD" w:rsidRPr="000F225B" w:rsidRDefault="00BA72BD" w:rsidP="00C22360">
      <w:pPr>
        <w:keepNext/>
        <w:rPr>
          <w:highlight w:val="yellow"/>
        </w:rPr>
      </w:pPr>
    </w:p>
    <w:p w:rsidR="00BA72BD" w:rsidRPr="000F225B" w:rsidRDefault="00BA72BD" w:rsidP="00C22360">
      <w:pPr>
        <w:keepNext/>
        <w:tabs>
          <w:tab w:val="left" w:pos="1701"/>
        </w:tabs>
      </w:pPr>
      <w:r w:rsidRPr="000F225B">
        <w:rPr>
          <w:b/>
        </w:rPr>
        <w:t>Föredragande:</w:t>
      </w:r>
      <w:r w:rsidRPr="000F225B">
        <w:tab/>
        <w:t>Franca Salis-Madinier (FR–II)</w:t>
      </w:r>
    </w:p>
    <w:p w:rsidR="00BA72BD" w:rsidRPr="000F225B" w:rsidRDefault="00BA72BD" w:rsidP="00C22360">
      <w:pPr>
        <w:keepNext/>
        <w:tabs>
          <w:tab w:val="left" w:pos="1701"/>
        </w:tabs>
        <w:ind w:left="-5"/>
        <w:rPr>
          <w:bCs/>
        </w:rPr>
      </w:pPr>
      <w:r w:rsidRPr="000F225B">
        <w:rPr>
          <w:b/>
        </w:rPr>
        <w:t>Medföredragande:</w:t>
      </w:r>
      <w:r w:rsidRPr="000F225B">
        <w:tab/>
        <w:t>Jukka Ahtela (FI–I)</w:t>
      </w:r>
    </w:p>
    <w:p w:rsidR="00BA72BD" w:rsidRPr="000F225B" w:rsidRDefault="00BA72BD" w:rsidP="00C22360">
      <w:pPr>
        <w:keepNext/>
        <w:tabs>
          <w:tab w:val="left" w:pos="1701"/>
        </w:tabs>
        <w:ind w:left="-5"/>
        <w:rPr>
          <w:b/>
          <w:bCs/>
        </w:rPr>
      </w:pPr>
    </w:p>
    <w:p w:rsidR="00BA72BD" w:rsidRPr="000F225B" w:rsidRDefault="00BA72BD">
      <w:pPr>
        <w:tabs>
          <w:tab w:val="left" w:pos="1701"/>
        </w:tabs>
        <w:ind w:left="-5"/>
      </w:pPr>
      <w:r w:rsidRPr="000F225B">
        <w:rPr>
          <w:b/>
        </w:rPr>
        <w:t>Referens:</w:t>
      </w:r>
      <w:r w:rsidRPr="000F225B">
        <w:tab/>
        <w:t>EESC-2017-01866-00-00-AS-TRA</w:t>
      </w:r>
    </w:p>
    <w:p w:rsidR="00BA72BD" w:rsidRPr="000F225B" w:rsidRDefault="00BA72BD">
      <w:pPr>
        <w:tabs>
          <w:tab w:val="left" w:pos="0"/>
        </w:tabs>
        <w:ind w:left="364" w:hanging="369"/>
      </w:pPr>
    </w:p>
    <w:p w:rsidR="00BA72BD" w:rsidRPr="000F225B" w:rsidRDefault="00BA72BD" w:rsidP="00C22360">
      <w:pPr>
        <w:keepNext/>
        <w:ind w:left="-5"/>
        <w:rPr>
          <w:b/>
        </w:rPr>
      </w:pPr>
      <w:r w:rsidRPr="000F225B">
        <w:rPr>
          <w:b/>
        </w:rPr>
        <w:t>Huvudpunkter:</w:t>
      </w:r>
    </w:p>
    <w:p w:rsidR="001E5961" w:rsidRPr="000F225B" w:rsidRDefault="001E5961" w:rsidP="00C22360">
      <w:pPr>
        <w:keepNext/>
      </w:pPr>
    </w:p>
    <w:p w:rsidR="00BA72BD" w:rsidRPr="000F225B" w:rsidRDefault="00BA72BD" w:rsidP="00C22360">
      <w:pPr>
        <w:numPr>
          <w:ilvl w:val="0"/>
          <w:numId w:val="42"/>
        </w:numPr>
        <w:tabs>
          <w:tab w:val="clear" w:pos="850"/>
        </w:tabs>
        <w:ind w:left="567" w:hanging="567"/>
        <w:outlineLvl w:val="1"/>
      </w:pPr>
      <w:r w:rsidRPr="000F225B">
        <w:t>I denna tid av stora digitala, miljörelaterade och demografiska omställningar, som medför långtgående förändringar för arbetstagare, arbetsgivare och deras förbindelser som arbetsmarknadsparter, är behovet av att erkänna den sociala dialogens och kollektivförhandlingarnas roll på alla nivåer större än någonsin. Målen och huvudprinciperna är nämligen fortfarande giltiga.</w:t>
      </w:r>
    </w:p>
    <w:p w:rsidR="00BA72BD" w:rsidRPr="000F225B" w:rsidRDefault="00BA72BD" w:rsidP="00C22360">
      <w:pPr>
        <w:numPr>
          <w:ilvl w:val="0"/>
          <w:numId w:val="42"/>
        </w:numPr>
        <w:tabs>
          <w:tab w:val="clear" w:pos="850"/>
        </w:tabs>
        <w:ind w:left="567" w:hanging="567"/>
        <w:outlineLvl w:val="1"/>
      </w:pPr>
      <w:r w:rsidRPr="000F225B">
        <w:t>Man kan inte i dag förutse alla de möjligheter och utmaningar som den digitala ekonomin kommer att ge upphov till. Den sociala och civila dialogens roll är inte att motsätta sig dessa övergångar, utan att styra dem så att vi kan dra större nytta av alla de fördelar som de kan medföra för tillväxt, främjande av innovation och kompetens, arbetstillfällen av hög kvalitet samt för hållbar och solidarisk finansiering av det sociala skyddet, samtidigt som vi ser till att människor fortfarande kan utöva de grundläggande rättigheter som garanteras genom Europeiska unionens stadga om de grundläggande rättigheterna och ILO:s konventioner.</w:t>
      </w:r>
    </w:p>
    <w:p w:rsidR="00BA72BD" w:rsidRPr="000F225B" w:rsidRDefault="00BA72BD" w:rsidP="00C22360">
      <w:pPr>
        <w:numPr>
          <w:ilvl w:val="0"/>
          <w:numId w:val="42"/>
        </w:numPr>
        <w:tabs>
          <w:tab w:val="clear" w:pos="850"/>
        </w:tabs>
        <w:ind w:left="567" w:hanging="567"/>
        <w:outlineLvl w:val="1"/>
      </w:pPr>
      <w:r w:rsidRPr="000F225B">
        <w:t>Digitalt arbete kan inte följa traditionella metoder vad gäller förvaltning och ledning utan kräver en ledning som präglas av deltagande och fastställande av gemensamma spelregler och en anpassning av strukturen och villkoren för den sociala dialogen.</w:t>
      </w:r>
    </w:p>
    <w:p w:rsidR="00BA72BD" w:rsidRPr="000F225B" w:rsidRDefault="00BA72BD" w:rsidP="00C22360">
      <w:pPr>
        <w:numPr>
          <w:ilvl w:val="0"/>
          <w:numId w:val="42"/>
        </w:numPr>
        <w:tabs>
          <w:tab w:val="clear" w:pos="850"/>
        </w:tabs>
        <w:ind w:left="567" w:hanging="567"/>
        <w:outlineLvl w:val="1"/>
      </w:pPr>
      <w:r w:rsidRPr="000F225B">
        <w:t>EESK rekommenderar att man respekterar arbetsmarknadsparternas självständighet. De har förbundit sig att via kollektivförhandlingar finna innovativa former av social dialog och lämpliga åtgärder för att bemöta behoven hos såväl arbet</w:t>
      </w:r>
      <w:r w:rsidR="00BA3BEE" w:rsidRPr="000F225B">
        <w:t>sgivare som arbetstagare både i </w:t>
      </w:r>
      <w:r w:rsidRPr="000F225B">
        <w:t>traditionella företag och inom ramen för den digitala ekonomin. EESK redovisar i detta yttrande några tidiga erfarenheter, svar och innovativa lösningar samt metoder som fackföreningar använt, och resultat av kollektivavtal som svarar mot de utmaningar som dessa förändringar innebär. Frågan om ökat samarbete mellan arbetsmarknadens parter och andra organisationer i det civila samhället tas också upp, t.ex. omfattande samråd på regeringsnivå och bredare diskussioner med andra aktörer i det civila samhället om den samlade effekten av digitaliseringen. Digitaliseringen och dess effekter på arbetsmarknaden bör vara en prioritet. EESK rekommenderar att man övervakar utvecklingen och dess inverkan på arbetsmarknadsrelationerna, arbetsvillkoren och den sociala dialogen samt att man stärker den sociala dialogens effektivitet och betydelse genom informationsspridning, framtidsstudier, utbyte av bästa praxis och en lämplig rättslig och icke-rättslig ram.</w:t>
      </w:r>
    </w:p>
    <w:p w:rsidR="00BA72BD" w:rsidRPr="000F225B" w:rsidRDefault="00BA72BD">
      <w:pPr>
        <w:tabs>
          <w:tab w:val="left" w:pos="1701"/>
        </w:tabs>
      </w:pPr>
    </w:p>
    <w:p w:rsidR="00BA72BD" w:rsidRPr="000F225B" w:rsidRDefault="00BA72BD" w:rsidP="00C22360">
      <w:pPr>
        <w:keepNext/>
        <w:tabs>
          <w:tab w:val="left" w:pos="1134"/>
        </w:tabs>
        <w:ind w:left="1134" w:hanging="1134"/>
        <w:rPr>
          <w:i/>
          <w:iCs/>
          <w:szCs w:val="22"/>
        </w:rPr>
      </w:pPr>
      <w:r w:rsidRPr="000F225B">
        <w:rPr>
          <w:b/>
          <w:i/>
        </w:rPr>
        <w:t>Kontaktperson:</w:t>
      </w:r>
      <w:r w:rsidRPr="000F225B">
        <w:tab/>
      </w:r>
      <w:r w:rsidRPr="000F225B">
        <w:rPr>
          <w:i/>
        </w:rPr>
        <w:t>June Bedaton</w:t>
      </w:r>
    </w:p>
    <w:p w:rsidR="00D96879" w:rsidRPr="000F225B" w:rsidRDefault="001D00DF">
      <w:pPr>
        <w:tabs>
          <w:tab w:val="left" w:pos="1134"/>
        </w:tabs>
        <w:rPr>
          <w:i/>
          <w:iCs/>
          <w:szCs w:val="22"/>
        </w:rPr>
      </w:pPr>
      <w:r w:rsidRPr="000F225B">
        <w:tab/>
      </w:r>
      <w:r w:rsidRPr="000F225B">
        <w:rPr>
          <w:i/>
        </w:rPr>
        <w:t xml:space="preserve">(Tfn +32 25468134 – e-post: </w:t>
      </w:r>
      <w:hyperlink r:id="rId29">
        <w:r w:rsidRPr="000F225B">
          <w:rPr>
            <w:i/>
            <w:color w:val="0000FF"/>
            <w:u w:val="single"/>
          </w:rPr>
          <w:t>june.bedaton@eesc.europa.eu</w:t>
        </w:r>
      </w:hyperlink>
      <w:r w:rsidRPr="000F225B">
        <w:t>)</w:t>
      </w:r>
    </w:p>
    <w:p w:rsidR="00D96879" w:rsidRPr="000F225B" w:rsidRDefault="00D96879">
      <w:pPr>
        <w:overflowPunct/>
        <w:autoSpaceDE/>
        <w:autoSpaceDN/>
        <w:adjustRightInd/>
        <w:spacing w:line="240" w:lineRule="auto"/>
        <w:jc w:val="left"/>
        <w:textAlignment w:val="auto"/>
        <w:rPr>
          <w:i/>
          <w:iCs/>
          <w:szCs w:val="22"/>
        </w:rPr>
      </w:pPr>
      <w:r w:rsidRPr="000F225B">
        <w:br w:type="page"/>
      </w:r>
    </w:p>
    <w:p w:rsidR="00BA72BD" w:rsidRPr="000F225B" w:rsidRDefault="00BA72BD" w:rsidP="00CC19E0">
      <w:pPr>
        <w:keepNext/>
        <w:numPr>
          <w:ilvl w:val="0"/>
          <w:numId w:val="68"/>
        </w:numPr>
        <w:rPr>
          <w:b/>
          <w:bCs/>
          <w:i/>
          <w:iCs/>
          <w:sz w:val="28"/>
          <w:szCs w:val="28"/>
        </w:rPr>
      </w:pPr>
      <w:r w:rsidRPr="000F225B">
        <w:rPr>
          <w:b/>
          <w:i/>
          <w:sz w:val="28"/>
        </w:rPr>
        <w:t>Färdigheter/Nya arbetsformer</w:t>
      </w:r>
    </w:p>
    <w:p w:rsidR="00BA72BD" w:rsidRPr="000F225B" w:rsidRDefault="00BA72BD" w:rsidP="00C22360">
      <w:pPr>
        <w:keepNext/>
        <w:rPr>
          <w:highlight w:val="yellow"/>
        </w:rPr>
      </w:pPr>
    </w:p>
    <w:p w:rsidR="00BA72BD" w:rsidRPr="000F225B" w:rsidRDefault="00BA72BD" w:rsidP="00C22360">
      <w:pPr>
        <w:keepNext/>
        <w:tabs>
          <w:tab w:val="left" w:pos="1701"/>
        </w:tabs>
        <w:rPr>
          <w:szCs w:val="22"/>
        </w:rPr>
      </w:pPr>
      <w:r w:rsidRPr="000F225B">
        <w:rPr>
          <w:b/>
        </w:rPr>
        <w:t>Föredragande:</w:t>
      </w:r>
      <w:r w:rsidRPr="000F225B">
        <w:t xml:space="preserve"> </w:t>
      </w:r>
      <w:r w:rsidRPr="000F225B">
        <w:tab/>
        <w:t>Ulrich Samm (Arbetsgivargruppen – DE)</w:t>
      </w:r>
    </w:p>
    <w:p w:rsidR="00BA72BD" w:rsidRPr="000F225B" w:rsidRDefault="00BA72BD" w:rsidP="00C22360">
      <w:pPr>
        <w:keepNext/>
        <w:tabs>
          <w:tab w:val="left" w:pos="1701"/>
        </w:tabs>
        <w:ind w:left="-5"/>
        <w:rPr>
          <w:b/>
          <w:bCs/>
        </w:rPr>
      </w:pPr>
    </w:p>
    <w:p w:rsidR="00BA72BD" w:rsidRPr="000F225B" w:rsidRDefault="00BA72BD" w:rsidP="00C22360">
      <w:pPr>
        <w:keepNext/>
        <w:tabs>
          <w:tab w:val="left" w:pos="1701"/>
        </w:tabs>
        <w:ind w:left="-5"/>
      </w:pPr>
      <w:r w:rsidRPr="000F225B">
        <w:rPr>
          <w:b/>
        </w:rPr>
        <w:t>Referens:</w:t>
      </w:r>
      <w:r w:rsidRPr="000F225B">
        <w:tab/>
        <w:t>EESC-2017-01813-00-00-AS-TRA</w:t>
      </w:r>
    </w:p>
    <w:p w:rsidR="00BA72BD" w:rsidRPr="000F225B" w:rsidRDefault="00BA72BD" w:rsidP="00C22360">
      <w:pPr>
        <w:keepNext/>
        <w:tabs>
          <w:tab w:val="left" w:pos="0"/>
        </w:tabs>
        <w:ind w:left="364" w:hanging="369"/>
      </w:pPr>
    </w:p>
    <w:p w:rsidR="00BA72BD" w:rsidRPr="000F225B" w:rsidRDefault="00BA72BD" w:rsidP="00C22360">
      <w:pPr>
        <w:keepNext/>
        <w:ind w:left="-5"/>
        <w:rPr>
          <w:b/>
        </w:rPr>
      </w:pPr>
      <w:r w:rsidRPr="000F225B">
        <w:rPr>
          <w:b/>
        </w:rPr>
        <w:t>Huvudpunkter:</w:t>
      </w:r>
    </w:p>
    <w:p w:rsidR="001E5961" w:rsidRPr="000F225B" w:rsidRDefault="001E5961" w:rsidP="00C22360">
      <w:pPr>
        <w:keepNext/>
        <w:ind w:left="-5"/>
      </w:pPr>
    </w:p>
    <w:p w:rsidR="00BA72BD" w:rsidRPr="000F225B" w:rsidRDefault="00BA72BD" w:rsidP="00C22360">
      <w:pPr>
        <w:numPr>
          <w:ilvl w:val="0"/>
          <w:numId w:val="42"/>
        </w:numPr>
        <w:tabs>
          <w:tab w:val="clear" w:pos="850"/>
        </w:tabs>
        <w:ind w:left="567" w:hanging="567"/>
        <w:outlineLvl w:val="1"/>
      </w:pPr>
      <w:r w:rsidRPr="000F225B">
        <w:t>Tack vare tillgången till bredbandsnät med mycket hög kapacitet kommer arbetets framtid att kännetecknas av ett växande antal atypiska former av arbete. EESK betonar att man mot bakgrund av denna ökning av atypiskt arbete – där arbetstagarna ofta saknar tillgång till traditionella, företagsbaserade utbildningssystem – måste ge hög prioritet åt att tillhandahålla social trygghet och undvika fattigdom och att sociala risker bör hanteras genom samordnade insatser av alla aktörer, däribland arbetsmarknadens parter och företagen. Här skulle EESK vilja se att vissa nationella initiativ som tagits fram av fackföreningar och det civila samhället och som ger vägledning åt "crowdworkers" uppmärksammas av kommissionen och tillämpas på europeisk nivå. Den ökade informationsasymmetrin mellan konsumenter och företag å andra sidan, kommer att behöva hanteras med hjälp av metoder som t.ex. etiska koder för de fria yrkena.</w:t>
      </w:r>
    </w:p>
    <w:p w:rsidR="00BA72BD" w:rsidRPr="000F225B" w:rsidRDefault="00BA72BD"/>
    <w:p w:rsidR="00BA72BD" w:rsidRPr="000F225B" w:rsidRDefault="00BA72BD">
      <w:r w:rsidRPr="000F225B">
        <w:t>Automatisering och robotar kommer att få stora konsekvenser för det framtida arbetet. De kan ersätta monotona, tunga eller farliga arbeten och kan vara särskilt värdefulla för personer med fysiska funktionsnedsättningar. De kan bidra till att stabilisera ekonomin i ett åldrande samhälle. Ett betydande antal arbetstillfällen kommer dock att påverkas av införandet av mer robotar på arbetsplatsen. Därför anser EESK att det krävs en social dialog på ett tidigt stadium.</w:t>
      </w:r>
    </w:p>
    <w:p w:rsidR="00BA72BD" w:rsidRPr="000F225B" w:rsidRDefault="00BA72BD"/>
    <w:p w:rsidR="00BA72BD" w:rsidRPr="000F225B" w:rsidRDefault="00BA72BD">
      <w:pPr>
        <w:rPr>
          <w:spacing w:val="-2"/>
        </w:rPr>
      </w:pPr>
      <w:r w:rsidRPr="000F225B">
        <w:rPr>
          <w:spacing w:val="-2"/>
        </w:rPr>
        <w:t>Mot bakgrund av dessa utmaningar anser EESK att man måste se till att människor har lämpliga färdigheter så att Europa förblir konkurrenskraftigt och i stånd att skapa nya företag och arbetstillfällen, och människor under hela sitt yrkesliv har tillträde till arbetsmarknaden och välfärd för alla tryggas. Dessa framtida färdigheter bör matcha samhälleliga behov och behoven på arbetsmarknaden. Livslångt lärande kommer att bli en nödvändighet för alla, och man kommer att behöva ägna mycket mer tid åt yrkesutbildning och informellt lärande. Mer specifikt kommer offentliga och privata organisationer att behöva tillhandahålla professionell utbildning i ny teknik, särskilt för dem som inte har kapacitet att anordna utbildningen själva, såsom små och medelstora företag, de fria yrkena och egenföretagarna. Utvecklingen på lång sikt kan dock leda till nya och oförutsedda utmaningar där dagens färdigheter snabbt kan bli föråldrade, och hanteras bäst med hjälp av allmän utbildning. Den kvalitativa förberedelsen av utbildare kommer därför att vara av största betydelse menar EESK, liksom deras status när det gäller yrkesmässig flexibilitet, lön, social trygghet osv.</w:t>
      </w:r>
    </w:p>
    <w:p w:rsidR="00BA72BD" w:rsidRPr="000F225B" w:rsidRDefault="00BA72BD"/>
    <w:p w:rsidR="00BA72BD" w:rsidRPr="000F225B" w:rsidRDefault="00BA72BD" w:rsidP="00C22360">
      <w:pPr>
        <w:keepNext/>
        <w:ind w:left="1134" w:hanging="1134"/>
        <w:rPr>
          <w:i/>
          <w:iCs/>
          <w:szCs w:val="22"/>
        </w:rPr>
      </w:pPr>
      <w:r w:rsidRPr="000F225B">
        <w:rPr>
          <w:b/>
          <w:i/>
        </w:rPr>
        <w:t>Kontaktperson:</w:t>
      </w:r>
      <w:r w:rsidRPr="000F225B">
        <w:tab/>
      </w:r>
      <w:r w:rsidRPr="000F225B">
        <w:rPr>
          <w:i/>
        </w:rPr>
        <w:t>Natalia Agapiou</w:t>
      </w:r>
    </w:p>
    <w:p w:rsidR="00211FF4" w:rsidRPr="000F225B" w:rsidRDefault="001D00DF">
      <w:pPr>
        <w:ind w:left="1134" w:hanging="1134"/>
        <w:rPr>
          <w:i/>
          <w:iCs/>
          <w:szCs w:val="22"/>
        </w:rPr>
      </w:pPr>
      <w:r w:rsidRPr="000F225B">
        <w:tab/>
      </w:r>
      <w:r w:rsidRPr="000F225B">
        <w:rPr>
          <w:i/>
        </w:rPr>
        <w:t xml:space="preserve">(Tfn +32 25469627 – e-post: </w:t>
      </w:r>
      <w:hyperlink r:id="rId30">
        <w:r w:rsidRPr="000F225B">
          <w:rPr>
            <w:i/>
            <w:color w:val="0000FF"/>
            <w:u w:val="single"/>
          </w:rPr>
          <w:t>natalia.agapiou@eesc.europa.eu</w:t>
        </w:r>
      </w:hyperlink>
      <w:r w:rsidRPr="000F225B">
        <w:t>)</w:t>
      </w:r>
    </w:p>
    <w:p w:rsidR="00211FF4" w:rsidRPr="000F225B" w:rsidRDefault="00211FF4">
      <w:pPr>
        <w:overflowPunct/>
        <w:autoSpaceDE/>
        <w:autoSpaceDN/>
        <w:adjustRightInd/>
        <w:spacing w:line="240" w:lineRule="auto"/>
        <w:jc w:val="left"/>
        <w:textAlignment w:val="auto"/>
        <w:rPr>
          <w:i/>
          <w:iCs/>
          <w:szCs w:val="22"/>
        </w:rPr>
      </w:pPr>
      <w:r w:rsidRPr="000F225B">
        <w:br w:type="page"/>
      </w:r>
    </w:p>
    <w:p w:rsidR="007F2384" w:rsidRPr="000F225B" w:rsidRDefault="006A31EB" w:rsidP="00C22360">
      <w:pPr>
        <w:pStyle w:val="Heading1"/>
        <w:keepNext/>
        <w:ind w:left="567" w:hanging="567"/>
        <w:rPr>
          <w:b/>
          <w:caps/>
        </w:rPr>
      </w:pPr>
      <w:bookmarkStart w:id="52" w:name="_Toc494363437"/>
      <w:bookmarkStart w:id="53" w:name="_Toc494368885"/>
      <w:bookmarkStart w:id="54" w:name="_Toc494363438"/>
      <w:bookmarkStart w:id="55" w:name="_Toc494368886"/>
      <w:bookmarkStart w:id="56" w:name="_Toc494363439"/>
      <w:bookmarkStart w:id="57" w:name="_Toc494368887"/>
      <w:bookmarkStart w:id="58" w:name="_Toc487801320"/>
      <w:bookmarkStart w:id="59" w:name="_Toc487801321"/>
      <w:bookmarkStart w:id="60" w:name="_Toc486584290"/>
      <w:bookmarkStart w:id="61" w:name="_Toc486584353"/>
      <w:bookmarkStart w:id="62" w:name="_Toc486584439"/>
      <w:bookmarkStart w:id="63" w:name="_Toc486584619"/>
      <w:bookmarkStart w:id="64" w:name="_Toc486584291"/>
      <w:bookmarkStart w:id="65" w:name="_Toc486584354"/>
      <w:bookmarkStart w:id="66" w:name="_Toc486584440"/>
      <w:bookmarkStart w:id="67" w:name="_Toc486584620"/>
      <w:bookmarkStart w:id="68" w:name="_Toc486584292"/>
      <w:bookmarkStart w:id="69" w:name="_Toc486584355"/>
      <w:bookmarkStart w:id="70" w:name="_Toc486584441"/>
      <w:bookmarkStart w:id="71" w:name="_Toc486584621"/>
      <w:bookmarkStart w:id="72" w:name="_Toc494368888"/>
      <w:bookmarkStart w:id="73" w:name="_Toc49531688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0F225B">
        <w:rPr>
          <w:b/>
          <w:caps/>
        </w:rPr>
        <w:t>Yttre förbindelser</w:t>
      </w:r>
      <w:bookmarkEnd w:id="72"/>
      <w:bookmarkEnd w:id="73"/>
    </w:p>
    <w:p w:rsidR="00BA72BD" w:rsidRPr="000F225B" w:rsidRDefault="00BA72BD" w:rsidP="00C22360">
      <w:pPr>
        <w:keepNext/>
      </w:pPr>
    </w:p>
    <w:p w:rsidR="00BA72BD" w:rsidRPr="000F225B" w:rsidRDefault="00BA72BD" w:rsidP="00CC19E0">
      <w:pPr>
        <w:pStyle w:val="ListParagraph"/>
        <w:keepNext/>
        <w:numPr>
          <w:ilvl w:val="0"/>
          <w:numId w:val="69"/>
        </w:numPr>
        <w:rPr>
          <w:b/>
          <w:i/>
          <w:spacing w:val="-2"/>
          <w:sz w:val="28"/>
          <w:szCs w:val="28"/>
        </w:rPr>
      </w:pPr>
      <w:r w:rsidRPr="000F225B">
        <w:rPr>
          <w:b/>
          <w:i/>
          <w:spacing w:val="-2"/>
          <w:sz w:val="28"/>
        </w:rPr>
        <w:t>Nya förutsättningar för de strategiska förbindelserna mellan EU och Celac och det civila samhällets roll (yttrande på eget initiativ)</w:t>
      </w:r>
    </w:p>
    <w:p w:rsidR="00BA72BD" w:rsidRPr="000F225B" w:rsidRDefault="00BA72BD" w:rsidP="00C22360">
      <w:pPr>
        <w:keepNext/>
        <w:overflowPunct/>
        <w:textAlignment w:val="auto"/>
      </w:pPr>
    </w:p>
    <w:p w:rsidR="00BA72BD" w:rsidRPr="000F225B" w:rsidRDefault="00BA72BD" w:rsidP="00C22360">
      <w:pPr>
        <w:keepNext/>
        <w:tabs>
          <w:tab w:val="left" w:pos="1701"/>
        </w:tabs>
        <w:rPr>
          <w:b/>
          <w:i/>
          <w:szCs w:val="22"/>
          <w:highlight w:val="yellow"/>
        </w:rPr>
      </w:pPr>
      <w:r w:rsidRPr="000F225B">
        <w:rPr>
          <w:b/>
        </w:rPr>
        <w:t>Föredragande:</w:t>
      </w:r>
      <w:r w:rsidRPr="000F225B">
        <w:tab/>
        <w:t>Mário Soares (Arbetstagargruppen – PT)</w:t>
      </w:r>
    </w:p>
    <w:p w:rsidR="00BA72BD" w:rsidRPr="000F225B" w:rsidRDefault="00BA72BD" w:rsidP="00C22360">
      <w:pPr>
        <w:keepNext/>
        <w:tabs>
          <w:tab w:val="left" w:pos="1701"/>
        </w:tabs>
      </w:pPr>
    </w:p>
    <w:p w:rsidR="00BA72BD" w:rsidRPr="000F225B" w:rsidRDefault="00BA72BD" w:rsidP="00C22360">
      <w:pPr>
        <w:keepNext/>
        <w:tabs>
          <w:tab w:val="num" w:pos="550"/>
          <w:tab w:val="left" w:pos="1701"/>
        </w:tabs>
        <w:rPr>
          <w:bCs/>
          <w:szCs w:val="22"/>
        </w:rPr>
      </w:pPr>
      <w:r w:rsidRPr="000F225B">
        <w:rPr>
          <w:b/>
        </w:rPr>
        <w:t>Yttrande</w:t>
      </w:r>
      <w:r w:rsidRPr="000F225B">
        <w:tab/>
        <w:t>EESC-2017-01834-00-00-PAC-TRA</w:t>
      </w:r>
    </w:p>
    <w:p w:rsidR="00BA72BD" w:rsidRPr="000F225B" w:rsidRDefault="00BA72BD" w:rsidP="00C22360">
      <w:pPr>
        <w:keepNext/>
        <w:overflowPunct/>
        <w:jc w:val="left"/>
        <w:textAlignment w:val="auto"/>
      </w:pPr>
    </w:p>
    <w:p w:rsidR="00BA72BD" w:rsidRPr="000F225B" w:rsidRDefault="00BA72BD" w:rsidP="00C22360">
      <w:pPr>
        <w:keepNext/>
        <w:rPr>
          <w:b/>
          <w:szCs w:val="22"/>
        </w:rPr>
      </w:pPr>
      <w:r w:rsidRPr="000F225B">
        <w:rPr>
          <w:b/>
        </w:rPr>
        <w:t>Huvudpunkter:</w:t>
      </w:r>
    </w:p>
    <w:p w:rsidR="00BA72BD" w:rsidRPr="000F225B" w:rsidRDefault="00BA72BD" w:rsidP="00C22360">
      <w:pPr>
        <w:keepNext/>
        <w:rPr>
          <w:b/>
          <w:szCs w:val="22"/>
        </w:rPr>
      </w:pPr>
    </w:p>
    <w:p w:rsidR="00BA72BD" w:rsidRPr="000F225B" w:rsidRDefault="00BA72BD" w:rsidP="00C22360">
      <w:pPr>
        <w:overflowPunct/>
        <w:textAlignment w:val="auto"/>
      </w:pPr>
      <w:r w:rsidRPr="000F225B">
        <w:t>Latinamerika och Västindien är en region som under århundraden har delat samma principer och värderingar som Europa och som därför också har samma världsbild. Europa och dess medlemsstater är de största investerarna och Latinamerikas och Västindiens största samarbetspartner. Politiska, ekonomiska, sociala, kulturella och historiska band har knutits under århundradenas lopp.</w:t>
      </w:r>
    </w:p>
    <w:p w:rsidR="00BA72BD" w:rsidRPr="000F225B" w:rsidRDefault="00BA72BD" w:rsidP="00C22360">
      <w:pPr>
        <w:overflowPunct/>
        <w:textAlignment w:val="auto"/>
      </w:pPr>
    </w:p>
    <w:p w:rsidR="00BA72BD" w:rsidRPr="000F225B" w:rsidRDefault="00BA72BD" w:rsidP="00C22360">
      <w:pPr>
        <w:overflowPunct/>
        <w:textAlignment w:val="auto"/>
      </w:pPr>
      <w:r w:rsidRPr="000F225B">
        <w:t>De nya globala utmaningarna kräver att detta block stärks och att man utvecklar en ny strategi som går utöver det rent formella och storslagna förklaringar och uppträder som en stark och beslutsam aktör på den internationella arenan. I detta nya geopolitiska landskap håller Latinamerika på att bli en strategisk prioritet för EU:s utrikespolitik.</w:t>
      </w:r>
    </w:p>
    <w:p w:rsidR="00BA72BD" w:rsidRPr="000F225B" w:rsidRDefault="00BA72BD" w:rsidP="00C22360">
      <w:pPr>
        <w:overflowPunct/>
        <w:textAlignment w:val="auto"/>
      </w:pPr>
    </w:p>
    <w:p w:rsidR="00BA72BD" w:rsidRPr="000F225B" w:rsidRDefault="00BA72BD" w:rsidP="00C22360">
      <w:pPr>
        <w:overflowPunct/>
        <w:textAlignment w:val="auto"/>
      </w:pPr>
      <w:r w:rsidRPr="000F225B">
        <w:t>EESK uppmuntrar till framsteg när det gäller utarbetandet av ett globalt ramavtal mellan EU och Celac som omfattar handlingsprinciper för politisk dialog, samarbete och hållbar utveckling. Detta skulle ligga till grund för en global geopolitisk insats och stärka våra regioners röst på den internationella arenan.</w:t>
      </w:r>
    </w:p>
    <w:p w:rsidR="00BA72BD" w:rsidRPr="000F225B" w:rsidRDefault="00BA72BD" w:rsidP="00C22360">
      <w:pPr>
        <w:overflowPunct/>
        <w:textAlignment w:val="auto"/>
      </w:pPr>
    </w:p>
    <w:p w:rsidR="00BA72BD" w:rsidRPr="000F225B" w:rsidRDefault="00BA72BD" w:rsidP="00C22360">
      <w:pPr>
        <w:overflowPunct/>
        <w:textAlignment w:val="auto"/>
      </w:pPr>
      <w:r w:rsidRPr="000F225B">
        <w:t>EESK uppmanar alla politiska ledare i EU och Latinamerika och Västindienatt erkänna och visa sin uppskattning för det civila samhällets deltagande. Därför är det viktigt att</w:t>
      </w:r>
    </w:p>
    <w:p w:rsidR="00BA72BD" w:rsidRPr="000F225B" w:rsidRDefault="00BA72BD" w:rsidP="00C22360">
      <w:pPr>
        <w:overflowPunct/>
        <w:textAlignment w:val="auto"/>
      </w:pPr>
    </w:p>
    <w:p w:rsidR="00BA72BD" w:rsidRPr="000F225B" w:rsidRDefault="00BA72BD" w:rsidP="00C22360">
      <w:pPr>
        <w:pStyle w:val="ListParagraph"/>
        <w:numPr>
          <w:ilvl w:val="1"/>
          <w:numId w:val="40"/>
        </w:numPr>
        <w:ind w:left="567" w:hanging="567"/>
      </w:pPr>
      <w:r w:rsidRPr="000F225B">
        <w:t>det i alla förhandlingar förs en strukturerad dialog med det organiserade civila samhället, vars deltagande bör grundas på kriterier för organisationernas representativitet och jämvikten mellan de olika sektorer som är företrädda. I det konkreta fallet med förhandlingar om frihandelsavtal bör man säkerställa att det civila samhället verkligen deltar under samtliga delar av förhandlingarna, liksom i samband med genomförandet och utvärderingen av resultaten,</w:t>
      </w:r>
    </w:p>
    <w:p w:rsidR="00BA72BD" w:rsidRPr="000F225B" w:rsidRDefault="00BA72BD" w:rsidP="00C22360">
      <w:pPr>
        <w:pStyle w:val="ListParagraph"/>
        <w:numPr>
          <w:ilvl w:val="1"/>
          <w:numId w:val="40"/>
        </w:numPr>
        <w:ind w:left="567" w:hanging="567"/>
      </w:pPr>
      <w:r w:rsidRPr="000F225B">
        <w:t>från början avsätta de materiella resurser som krävs och som är tillräckliga för att alla de mekanismer som medverkar i enlighet med avtalen ska kunna fullgöra de uppgifter som åligger dem,</w:t>
      </w:r>
    </w:p>
    <w:p w:rsidR="00BA72BD" w:rsidRPr="000F225B" w:rsidRDefault="00BA72BD" w:rsidP="00C22360">
      <w:pPr>
        <w:pStyle w:val="ListParagraph"/>
        <w:numPr>
          <w:ilvl w:val="1"/>
          <w:numId w:val="40"/>
        </w:numPr>
        <w:ind w:left="567" w:hanging="567"/>
      </w:pPr>
      <w:r w:rsidRPr="000F225B">
        <w:t>man erkänner att öppenhet och en formell och regelbunden dialog med myndigheterna är grunden för insatser av hög kvalitet från de berörda aktörernas sida,</w:t>
      </w:r>
    </w:p>
    <w:p w:rsidR="00BA72BD" w:rsidRPr="000F225B" w:rsidRDefault="00BA72BD" w:rsidP="00C22360">
      <w:pPr>
        <w:pStyle w:val="ListParagraph"/>
        <w:keepNext/>
        <w:numPr>
          <w:ilvl w:val="1"/>
          <w:numId w:val="40"/>
        </w:numPr>
        <w:ind w:left="567" w:hanging="567"/>
      </w:pPr>
      <w:r w:rsidRPr="000F225B">
        <w:t>man koncentrerar sig på en enda institutionaliserad och tillräckligt finansierad struktur och uppföljning och kontroll av ingångna avtal, enligt principen "en överenskommelse, ett enda organ i det civila samhället".</w:t>
      </w:r>
    </w:p>
    <w:p w:rsidR="00BA72BD" w:rsidRPr="000F225B" w:rsidRDefault="00BA72BD" w:rsidP="00C22360">
      <w:pPr>
        <w:keepNext/>
        <w:overflowPunct/>
        <w:textAlignment w:val="auto"/>
      </w:pPr>
    </w:p>
    <w:p w:rsidR="00BA72BD" w:rsidRPr="000F225B" w:rsidRDefault="00BA72BD" w:rsidP="00C22360">
      <w:pPr>
        <w:keepNext/>
        <w:tabs>
          <w:tab w:val="left" w:pos="1701"/>
        </w:tabs>
        <w:rPr>
          <w:i/>
        </w:rPr>
      </w:pPr>
      <w:r w:rsidRPr="000F225B">
        <w:rPr>
          <w:b/>
          <w:i/>
        </w:rPr>
        <w:t>Kontaktperson</w:t>
      </w:r>
      <w:r w:rsidRPr="000F225B">
        <w:t>:</w:t>
      </w:r>
      <w:r w:rsidRPr="000F225B">
        <w:tab/>
      </w:r>
      <w:r w:rsidRPr="000F225B">
        <w:rPr>
          <w:i/>
        </w:rPr>
        <w:t>Lucía Mendez del Rio Cabra</w:t>
      </w:r>
    </w:p>
    <w:p w:rsidR="00921023" w:rsidRPr="000F225B" w:rsidRDefault="001D00DF" w:rsidP="00C22360">
      <w:pPr>
        <w:keepNext/>
        <w:tabs>
          <w:tab w:val="left" w:pos="1701"/>
        </w:tabs>
        <w:rPr>
          <w:i/>
          <w:iCs/>
          <w:color w:val="0000FF"/>
          <w:szCs w:val="22"/>
          <w:u w:val="single"/>
        </w:rPr>
      </w:pPr>
      <w:r w:rsidRPr="000F225B">
        <w:tab/>
      </w:r>
      <w:r w:rsidRPr="000F225B">
        <w:rPr>
          <w:i/>
        </w:rPr>
        <w:t xml:space="preserve">(Tfn +32 25469345 – e-post: </w:t>
      </w:r>
      <w:hyperlink r:id="rId31">
        <w:r w:rsidRPr="000F225B">
          <w:rPr>
            <w:rStyle w:val="Hyperlink"/>
            <w:i/>
          </w:rPr>
          <w:t>Lucia.MendezDelRioCabra@eesc.europa.eu</w:t>
        </w:r>
      </w:hyperlink>
      <w:r w:rsidRPr="000F225B">
        <w:rPr>
          <w:i/>
          <w:color w:val="0000FF"/>
          <w:u w:val="single"/>
        </w:rPr>
        <w:t>)</w:t>
      </w:r>
    </w:p>
    <w:p w:rsidR="00BA72BD" w:rsidRPr="000F225B" w:rsidRDefault="00BA72BD" w:rsidP="00C22360">
      <w:pPr>
        <w:keepNext/>
        <w:tabs>
          <w:tab w:val="left" w:pos="1701"/>
        </w:tabs>
      </w:pPr>
    </w:p>
    <w:p w:rsidR="005966FE" w:rsidRPr="000F225B" w:rsidRDefault="005966FE">
      <w:pPr>
        <w:jc w:val="center"/>
      </w:pPr>
      <w:r w:rsidRPr="000F225B">
        <w:t>____________</w:t>
      </w:r>
    </w:p>
    <w:sectPr w:rsidR="005966FE" w:rsidRPr="000F225B" w:rsidSect="005927EE">
      <w:headerReference w:type="even" r:id="rId32"/>
      <w:headerReference w:type="default" r:id="rId33"/>
      <w:footerReference w:type="even" r:id="rId34"/>
      <w:footerReference w:type="default" r:id="rId35"/>
      <w:headerReference w:type="first" r:id="rId36"/>
      <w:footerReference w:type="first" r:id="rId3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6B" w:rsidRDefault="0038496B" w:rsidP="003B283B">
      <w:pPr>
        <w:spacing w:line="240" w:lineRule="auto"/>
      </w:pPr>
      <w:r>
        <w:separator/>
      </w:r>
    </w:p>
  </w:endnote>
  <w:endnote w:type="continuationSeparator" w:id="0">
    <w:p w:rsidR="0038496B" w:rsidRDefault="0038496B" w:rsidP="003B283B">
      <w:pPr>
        <w:spacing w:line="240" w:lineRule="auto"/>
      </w:pPr>
      <w:r>
        <w:continuationSeparator/>
      </w:r>
    </w:p>
  </w:endnote>
  <w:endnote w:type="continuationNotice" w:id="1">
    <w:p w:rsidR="0038496B" w:rsidRDefault="003849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5927EE" w:rsidP="005927EE">
    <w:pPr>
      <w:pStyle w:val="Footer"/>
    </w:pPr>
    <w:r>
      <w:t xml:space="preserve">EESC-2017-03479-00-01-TCD-TRA (FR/EN) </w:t>
    </w:r>
    <w:r>
      <w:fldChar w:fldCharType="begin"/>
    </w:r>
    <w:r>
      <w:instrText xml:space="preserve"> PAGE  \* Arabic  \* MERGEFORMAT </w:instrText>
    </w:r>
    <w:r>
      <w:fldChar w:fldCharType="separate"/>
    </w:r>
    <w:r w:rsidR="000F225B">
      <w:rPr>
        <w:noProof/>
      </w:rPr>
      <w:t>1</w:t>
    </w:r>
    <w:r>
      <w:fldChar w:fldCharType="end"/>
    </w:r>
    <w:r>
      <w:t>/</w:t>
    </w:r>
    <w:r>
      <w:fldChar w:fldCharType="begin"/>
    </w:r>
    <w:r>
      <w:instrText xml:space="preserve"> = </w:instrText>
    </w:r>
    <w:fldSimple w:instr=" NUMPAGES ">
      <w:r w:rsidR="000F225B">
        <w:rPr>
          <w:noProof/>
        </w:rPr>
        <w:instrText>4</w:instrText>
      </w:r>
    </w:fldSimple>
    <w:r>
      <w:instrText xml:space="preserve"> </w:instrText>
    </w:r>
    <w:r>
      <w:fldChar w:fldCharType="separate"/>
    </w:r>
    <w:r w:rsidR="000F225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5927EE" w:rsidP="005927EE">
    <w:pPr>
      <w:pStyle w:val="Footer"/>
    </w:pPr>
    <w:r>
      <w:t xml:space="preserve">EESC-2017-03479-00-01-TCD-TRA (FR/EN) </w:t>
    </w:r>
    <w:r>
      <w:fldChar w:fldCharType="begin"/>
    </w:r>
    <w:r>
      <w:instrText xml:space="preserve"> PAGE  \* Arabic  \* MERGEFORMAT </w:instrText>
    </w:r>
    <w:r>
      <w:fldChar w:fldCharType="separate"/>
    </w:r>
    <w:r w:rsidR="000F225B">
      <w:rPr>
        <w:noProof/>
      </w:rPr>
      <w:t>3</w:t>
    </w:r>
    <w:r>
      <w:fldChar w:fldCharType="end"/>
    </w:r>
    <w:r>
      <w:t>/</w:t>
    </w:r>
    <w:r>
      <w:fldChar w:fldCharType="begin"/>
    </w:r>
    <w:r>
      <w:instrText xml:space="preserve"> = </w:instrText>
    </w:r>
    <w:fldSimple w:instr=" NUMPAGES ">
      <w:r w:rsidR="000F225B">
        <w:rPr>
          <w:noProof/>
        </w:rPr>
        <w:instrText>4</w:instrText>
      </w:r>
    </w:fldSimple>
    <w:r>
      <w:instrText xml:space="preserve"> </w:instrText>
    </w:r>
    <w:r>
      <w:fldChar w:fldCharType="separate"/>
    </w:r>
    <w:r w:rsidR="000F225B">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6B" w:rsidRDefault="0038496B" w:rsidP="003B283B">
      <w:pPr>
        <w:spacing w:line="240" w:lineRule="auto"/>
      </w:pPr>
      <w:r>
        <w:separator/>
      </w:r>
    </w:p>
  </w:footnote>
  <w:footnote w:type="continuationSeparator" w:id="0">
    <w:p w:rsidR="0038496B" w:rsidRDefault="0038496B" w:rsidP="003B283B">
      <w:pPr>
        <w:spacing w:line="240" w:lineRule="auto"/>
      </w:pPr>
      <w:r>
        <w:continuationSeparator/>
      </w:r>
    </w:p>
  </w:footnote>
  <w:footnote w:type="continuationNotice" w:id="1">
    <w:p w:rsidR="0038496B" w:rsidRPr="00377A77" w:rsidRDefault="0038496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EE" w:rsidRPr="005927EE" w:rsidRDefault="005927EE" w:rsidP="005927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DD" w:rsidRPr="005927EE" w:rsidRDefault="00916ADD" w:rsidP="00592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8">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19B0D22"/>
    <w:multiLevelType w:val="singleLevel"/>
    <w:tmpl w:val="ACD4CDB0"/>
    <w:lvl w:ilvl="0">
      <w:numFmt w:val="decimal"/>
      <w:lvlText w:val="*"/>
      <w:lvlJc w:val="left"/>
      <w:rPr>
        <w:rFonts w:cs="Times New Roman"/>
      </w:rPr>
    </w:lvl>
  </w:abstractNum>
  <w:abstractNum w:abstractNumId="10">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C2354C"/>
    <w:multiLevelType w:val="singleLevel"/>
    <w:tmpl w:val="ACD4CDB0"/>
    <w:lvl w:ilvl="0">
      <w:numFmt w:val="decimal"/>
      <w:lvlText w:val="*"/>
      <w:lvlJc w:val="left"/>
      <w:rPr>
        <w:rFonts w:cs="Times New Roman"/>
      </w:rPr>
    </w:lvl>
  </w:abstractNum>
  <w:abstractNum w:abstractNumId="1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F7D1756"/>
    <w:multiLevelType w:val="singleLevel"/>
    <w:tmpl w:val="ACD4CDB0"/>
    <w:lvl w:ilvl="0">
      <w:numFmt w:val="decimal"/>
      <w:lvlText w:val="*"/>
      <w:lvlJc w:val="left"/>
      <w:rPr>
        <w:rFonts w:cs="Times New Roman"/>
      </w:rPr>
    </w:lvl>
  </w:abstractNum>
  <w:abstractNum w:abstractNumId="28">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2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4904083"/>
    <w:multiLevelType w:val="singleLevel"/>
    <w:tmpl w:val="ACD4CDB0"/>
    <w:lvl w:ilvl="0">
      <w:numFmt w:val="decimal"/>
      <w:lvlText w:val="*"/>
      <w:lvlJc w:val="left"/>
      <w:rPr>
        <w:rFonts w:cs="Times New Roman"/>
      </w:rPr>
    </w:lvl>
  </w:abstractNum>
  <w:abstractNum w:abstractNumId="3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BDC157E"/>
    <w:multiLevelType w:val="hybridMultilevel"/>
    <w:tmpl w:val="826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DF3D01"/>
    <w:multiLevelType w:val="singleLevel"/>
    <w:tmpl w:val="ACD4CDB0"/>
    <w:lvl w:ilvl="0">
      <w:numFmt w:val="decimal"/>
      <w:lvlText w:val="*"/>
      <w:lvlJc w:val="left"/>
      <w:rPr>
        <w:rFonts w:cs="Times New Roman"/>
      </w:rPr>
    </w:lvl>
  </w:abstractNum>
  <w:abstractNum w:abstractNumId="35">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7">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6F9E50B5"/>
    <w:multiLevelType w:val="singleLevel"/>
    <w:tmpl w:val="ACD4CDB0"/>
    <w:lvl w:ilvl="0">
      <w:numFmt w:val="decimal"/>
      <w:lvlText w:val="*"/>
      <w:lvlJc w:val="left"/>
      <w:rPr>
        <w:rFonts w:cs="Times New Roman"/>
      </w:rPr>
    </w:lvl>
  </w:abstractNum>
  <w:abstractNum w:abstractNumId="59">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6">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6"/>
  </w:num>
  <w:num w:numId="4">
    <w:abstractNumId w:val="9"/>
  </w:num>
  <w:num w:numId="5">
    <w:abstractNumId w:val="58"/>
  </w:num>
  <w:num w:numId="6">
    <w:abstractNumId w:val="39"/>
  </w:num>
  <w:num w:numId="7">
    <w:abstractNumId w:val="51"/>
  </w:num>
  <w:num w:numId="8">
    <w:abstractNumId w:val="30"/>
  </w:num>
  <w:num w:numId="9">
    <w:abstractNumId w:val="27"/>
  </w:num>
  <w:num w:numId="10">
    <w:abstractNumId w:val="26"/>
  </w:num>
  <w:num w:numId="11">
    <w:abstractNumId w:val="56"/>
  </w:num>
  <w:num w:numId="12">
    <w:abstractNumId w:val="5"/>
  </w:num>
  <w:num w:numId="13">
    <w:abstractNumId w:val="4"/>
  </w:num>
  <w:num w:numId="14">
    <w:abstractNumId w:val="50"/>
  </w:num>
  <w:num w:numId="15">
    <w:abstractNumId w:val="60"/>
  </w:num>
  <w:num w:numId="16">
    <w:abstractNumId w:val="36"/>
  </w:num>
  <w:num w:numId="17">
    <w:abstractNumId w:val="61"/>
  </w:num>
  <w:num w:numId="18">
    <w:abstractNumId w:val="57"/>
  </w:num>
  <w:num w:numId="19">
    <w:abstractNumId w:val="66"/>
  </w:num>
  <w:num w:numId="20">
    <w:abstractNumId w:val="3"/>
  </w:num>
  <w:num w:numId="21">
    <w:abstractNumId w:val="32"/>
  </w:num>
  <w:num w:numId="22">
    <w:abstractNumId w:val="29"/>
  </w:num>
  <w:num w:numId="23">
    <w:abstractNumId w:val="2"/>
  </w:num>
  <w:num w:numId="24">
    <w:abstractNumId w:val="54"/>
  </w:num>
  <w:num w:numId="25">
    <w:abstractNumId w:val="25"/>
  </w:num>
  <w:num w:numId="26">
    <w:abstractNumId w:val="24"/>
  </w:num>
  <w:num w:numId="27">
    <w:abstractNumId w:val="45"/>
  </w:num>
  <w:num w:numId="28">
    <w:abstractNumId w:val="15"/>
  </w:num>
  <w:num w:numId="29">
    <w:abstractNumId w:val="46"/>
  </w:num>
  <w:num w:numId="30">
    <w:abstractNumId w:val="7"/>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
  </w:num>
  <w:num w:numId="34">
    <w:abstractNumId w:val="28"/>
  </w:num>
  <w:num w:numId="35">
    <w:abstractNumId w:val="34"/>
  </w:num>
  <w:num w:numId="36">
    <w:abstractNumId w:val="59"/>
  </w:num>
  <w:num w:numId="37">
    <w:abstractNumId w:val="14"/>
  </w:num>
  <w:num w:numId="38">
    <w:abstractNumId w:val="11"/>
  </w:num>
  <w:num w:numId="39">
    <w:abstractNumId w:val="16"/>
  </w:num>
  <w:num w:numId="40">
    <w:abstractNumId w:val="22"/>
  </w:num>
  <w:num w:numId="41">
    <w:abstractNumId w:val="10"/>
  </w:num>
  <w:num w:numId="42">
    <w:abstractNumId w:val="42"/>
  </w:num>
  <w:num w:numId="43">
    <w:abstractNumId w:val="31"/>
  </w:num>
  <w:num w:numId="44">
    <w:abstractNumId w:val="49"/>
  </w:num>
  <w:num w:numId="45">
    <w:abstractNumId w:val="43"/>
  </w:num>
  <w:num w:numId="46">
    <w:abstractNumId w:val="47"/>
  </w:num>
  <w:num w:numId="47">
    <w:abstractNumId w:val="12"/>
  </w:num>
  <w:num w:numId="48">
    <w:abstractNumId w:val="37"/>
  </w:num>
  <w:num w:numId="49">
    <w:abstractNumId w:val="38"/>
  </w:num>
  <w:num w:numId="50">
    <w:abstractNumId w:val="33"/>
  </w:num>
  <w:num w:numId="51">
    <w:abstractNumId w:val="64"/>
  </w:num>
  <w:num w:numId="52">
    <w:abstractNumId w:val="52"/>
  </w:num>
  <w:num w:numId="53">
    <w:abstractNumId w:val="18"/>
  </w:num>
  <w:num w:numId="54">
    <w:abstractNumId w:val="6"/>
  </w:num>
  <w:num w:numId="55">
    <w:abstractNumId w:val="19"/>
  </w:num>
  <w:num w:numId="56">
    <w:abstractNumId w:val="44"/>
  </w:num>
  <w:num w:numId="57">
    <w:abstractNumId w:val="20"/>
  </w:num>
  <w:num w:numId="58">
    <w:abstractNumId w:val="17"/>
  </w:num>
  <w:num w:numId="59">
    <w:abstractNumId w:val="55"/>
  </w:num>
  <w:num w:numId="60">
    <w:abstractNumId w:val="41"/>
  </w:num>
  <w:num w:numId="61">
    <w:abstractNumId w:val="62"/>
  </w:num>
  <w:num w:numId="62">
    <w:abstractNumId w:val="53"/>
  </w:num>
  <w:num w:numId="63">
    <w:abstractNumId w:val="63"/>
  </w:num>
  <w:num w:numId="64">
    <w:abstractNumId w:val="23"/>
  </w:num>
  <w:num w:numId="65">
    <w:abstractNumId w:val="13"/>
  </w:num>
  <w:num w:numId="66">
    <w:abstractNumId w:val="48"/>
  </w:num>
  <w:num w:numId="67">
    <w:abstractNumId w:val="8"/>
  </w:num>
  <w:num w:numId="68">
    <w:abstractNumId w:val="65"/>
  </w:num>
  <w:num w:numId="69">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4006B"/>
    <w:rsid w:val="0004042B"/>
    <w:rsid w:val="00041C6C"/>
    <w:rsid w:val="00041EB7"/>
    <w:rsid w:val="00044DCB"/>
    <w:rsid w:val="00045054"/>
    <w:rsid w:val="000451B3"/>
    <w:rsid w:val="00051C81"/>
    <w:rsid w:val="0005250A"/>
    <w:rsid w:val="000529F2"/>
    <w:rsid w:val="00054E26"/>
    <w:rsid w:val="00055735"/>
    <w:rsid w:val="000559BE"/>
    <w:rsid w:val="000562AF"/>
    <w:rsid w:val="00060853"/>
    <w:rsid w:val="00065751"/>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1EAC"/>
    <w:rsid w:val="000F225B"/>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647C"/>
    <w:rsid w:val="00126A7F"/>
    <w:rsid w:val="00127660"/>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49A7"/>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0DF"/>
    <w:rsid w:val="001D013F"/>
    <w:rsid w:val="001D078A"/>
    <w:rsid w:val="001D4E3C"/>
    <w:rsid w:val="001D52CB"/>
    <w:rsid w:val="001D6C48"/>
    <w:rsid w:val="001D74DC"/>
    <w:rsid w:val="001E0E97"/>
    <w:rsid w:val="001E2338"/>
    <w:rsid w:val="001E558F"/>
    <w:rsid w:val="001E5961"/>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6823"/>
    <w:rsid w:val="002276DD"/>
    <w:rsid w:val="0023002B"/>
    <w:rsid w:val="002327D5"/>
    <w:rsid w:val="00233CAC"/>
    <w:rsid w:val="0023548F"/>
    <w:rsid w:val="00236FB9"/>
    <w:rsid w:val="002407AA"/>
    <w:rsid w:val="002411E0"/>
    <w:rsid w:val="00242408"/>
    <w:rsid w:val="00242759"/>
    <w:rsid w:val="00242890"/>
    <w:rsid w:val="00242B03"/>
    <w:rsid w:val="00243514"/>
    <w:rsid w:val="002469F7"/>
    <w:rsid w:val="002539A1"/>
    <w:rsid w:val="00253B72"/>
    <w:rsid w:val="002542CC"/>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93159"/>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D0F32"/>
    <w:rsid w:val="002D1B76"/>
    <w:rsid w:val="002D41B7"/>
    <w:rsid w:val="002D6E86"/>
    <w:rsid w:val="002D73EF"/>
    <w:rsid w:val="002D750B"/>
    <w:rsid w:val="002E5A78"/>
    <w:rsid w:val="002E64CB"/>
    <w:rsid w:val="002E7DDB"/>
    <w:rsid w:val="002F0044"/>
    <w:rsid w:val="002F0388"/>
    <w:rsid w:val="002F3FAF"/>
    <w:rsid w:val="003002D3"/>
    <w:rsid w:val="00303C59"/>
    <w:rsid w:val="003058FB"/>
    <w:rsid w:val="00306501"/>
    <w:rsid w:val="003075E1"/>
    <w:rsid w:val="003079A2"/>
    <w:rsid w:val="00307A61"/>
    <w:rsid w:val="00307FC3"/>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45DE"/>
    <w:rsid w:val="003448C7"/>
    <w:rsid w:val="0034601A"/>
    <w:rsid w:val="0034657E"/>
    <w:rsid w:val="00350470"/>
    <w:rsid w:val="00351081"/>
    <w:rsid w:val="00353680"/>
    <w:rsid w:val="003542D4"/>
    <w:rsid w:val="003543F0"/>
    <w:rsid w:val="003555A1"/>
    <w:rsid w:val="0035631F"/>
    <w:rsid w:val="00357667"/>
    <w:rsid w:val="00360D02"/>
    <w:rsid w:val="00361CF3"/>
    <w:rsid w:val="003627DD"/>
    <w:rsid w:val="00362B7F"/>
    <w:rsid w:val="00364BAB"/>
    <w:rsid w:val="00364D74"/>
    <w:rsid w:val="0036522E"/>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9EE"/>
    <w:rsid w:val="00393A41"/>
    <w:rsid w:val="00394196"/>
    <w:rsid w:val="0039485C"/>
    <w:rsid w:val="00394D69"/>
    <w:rsid w:val="00395564"/>
    <w:rsid w:val="00397835"/>
    <w:rsid w:val="00397A66"/>
    <w:rsid w:val="00397C0A"/>
    <w:rsid w:val="003A63B9"/>
    <w:rsid w:val="003A667F"/>
    <w:rsid w:val="003A7683"/>
    <w:rsid w:val="003B1165"/>
    <w:rsid w:val="003B20F1"/>
    <w:rsid w:val="003B283B"/>
    <w:rsid w:val="003B2AB5"/>
    <w:rsid w:val="003B2BA2"/>
    <w:rsid w:val="003B38AA"/>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50993"/>
    <w:rsid w:val="004520DF"/>
    <w:rsid w:val="0045436B"/>
    <w:rsid w:val="00456257"/>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3E31"/>
    <w:rsid w:val="00554364"/>
    <w:rsid w:val="00554B37"/>
    <w:rsid w:val="00556040"/>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7EE"/>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5D74"/>
    <w:rsid w:val="005F7FD3"/>
    <w:rsid w:val="00600B60"/>
    <w:rsid w:val="006028AC"/>
    <w:rsid w:val="006043AA"/>
    <w:rsid w:val="00606054"/>
    <w:rsid w:val="00610CDE"/>
    <w:rsid w:val="006139AA"/>
    <w:rsid w:val="006140BB"/>
    <w:rsid w:val="0061565F"/>
    <w:rsid w:val="00616E48"/>
    <w:rsid w:val="006210CA"/>
    <w:rsid w:val="00622A2D"/>
    <w:rsid w:val="00623026"/>
    <w:rsid w:val="00623940"/>
    <w:rsid w:val="00630BE1"/>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08D5"/>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311D"/>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2FB"/>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A10"/>
    <w:rsid w:val="00774ED8"/>
    <w:rsid w:val="00780E20"/>
    <w:rsid w:val="007818AB"/>
    <w:rsid w:val="00782FDA"/>
    <w:rsid w:val="00785399"/>
    <w:rsid w:val="00793CC7"/>
    <w:rsid w:val="0079472F"/>
    <w:rsid w:val="007949E3"/>
    <w:rsid w:val="00794E1C"/>
    <w:rsid w:val="00795A2F"/>
    <w:rsid w:val="00795DA3"/>
    <w:rsid w:val="00796D74"/>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800AE3"/>
    <w:rsid w:val="00802367"/>
    <w:rsid w:val="0080274C"/>
    <w:rsid w:val="00802AF7"/>
    <w:rsid w:val="008031D6"/>
    <w:rsid w:val="008038C5"/>
    <w:rsid w:val="00805F7C"/>
    <w:rsid w:val="00806324"/>
    <w:rsid w:val="00806DD0"/>
    <w:rsid w:val="00810910"/>
    <w:rsid w:val="0081158D"/>
    <w:rsid w:val="00811B34"/>
    <w:rsid w:val="00811CDA"/>
    <w:rsid w:val="00814D3F"/>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A56"/>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60BD"/>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6D95"/>
    <w:rsid w:val="008A6EC0"/>
    <w:rsid w:val="008B1171"/>
    <w:rsid w:val="008B48E2"/>
    <w:rsid w:val="008B5152"/>
    <w:rsid w:val="008B5EA0"/>
    <w:rsid w:val="008B6EE1"/>
    <w:rsid w:val="008B7E27"/>
    <w:rsid w:val="008C0AEC"/>
    <w:rsid w:val="008C0CA5"/>
    <w:rsid w:val="008C0CB4"/>
    <w:rsid w:val="008C11BE"/>
    <w:rsid w:val="008C12A2"/>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3205"/>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110F8"/>
    <w:rsid w:val="00915485"/>
    <w:rsid w:val="00915EB8"/>
    <w:rsid w:val="00916A2C"/>
    <w:rsid w:val="00916ADD"/>
    <w:rsid w:val="009177C9"/>
    <w:rsid w:val="00917932"/>
    <w:rsid w:val="00921023"/>
    <w:rsid w:val="00921C9B"/>
    <w:rsid w:val="00921E9F"/>
    <w:rsid w:val="0092229A"/>
    <w:rsid w:val="00923DCD"/>
    <w:rsid w:val="009249E5"/>
    <w:rsid w:val="00925D18"/>
    <w:rsid w:val="00927AA9"/>
    <w:rsid w:val="00927B5B"/>
    <w:rsid w:val="00930D55"/>
    <w:rsid w:val="00931C5B"/>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3C32"/>
    <w:rsid w:val="0098597A"/>
    <w:rsid w:val="009860AD"/>
    <w:rsid w:val="009867C1"/>
    <w:rsid w:val="00987EAE"/>
    <w:rsid w:val="0099016F"/>
    <w:rsid w:val="00992591"/>
    <w:rsid w:val="00992739"/>
    <w:rsid w:val="00992A81"/>
    <w:rsid w:val="0099424C"/>
    <w:rsid w:val="0099587F"/>
    <w:rsid w:val="009967CB"/>
    <w:rsid w:val="009A0DEA"/>
    <w:rsid w:val="009A1F1D"/>
    <w:rsid w:val="009A24AD"/>
    <w:rsid w:val="009A495E"/>
    <w:rsid w:val="009A51F0"/>
    <w:rsid w:val="009A791D"/>
    <w:rsid w:val="009A7FA8"/>
    <w:rsid w:val="009B0BC4"/>
    <w:rsid w:val="009B0BC8"/>
    <w:rsid w:val="009B10FF"/>
    <w:rsid w:val="009B3504"/>
    <w:rsid w:val="009B4402"/>
    <w:rsid w:val="009B5536"/>
    <w:rsid w:val="009C1289"/>
    <w:rsid w:val="009C4B4E"/>
    <w:rsid w:val="009C6421"/>
    <w:rsid w:val="009C7881"/>
    <w:rsid w:val="009D0DE4"/>
    <w:rsid w:val="009D383A"/>
    <w:rsid w:val="009D3AE0"/>
    <w:rsid w:val="009D5BAA"/>
    <w:rsid w:val="009D6AF9"/>
    <w:rsid w:val="009E1DC8"/>
    <w:rsid w:val="009E5563"/>
    <w:rsid w:val="009E5C1F"/>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5870"/>
    <w:rsid w:val="00A0670F"/>
    <w:rsid w:val="00A07E52"/>
    <w:rsid w:val="00A100FF"/>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4AE9"/>
    <w:rsid w:val="00A45CD8"/>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B03922"/>
    <w:rsid w:val="00B04ACF"/>
    <w:rsid w:val="00B053C6"/>
    <w:rsid w:val="00B07386"/>
    <w:rsid w:val="00B10030"/>
    <w:rsid w:val="00B104E7"/>
    <w:rsid w:val="00B14DAA"/>
    <w:rsid w:val="00B16E80"/>
    <w:rsid w:val="00B17D6B"/>
    <w:rsid w:val="00B234E3"/>
    <w:rsid w:val="00B274CC"/>
    <w:rsid w:val="00B32641"/>
    <w:rsid w:val="00B33A06"/>
    <w:rsid w:val="00B34AF2"/>
    <w:rsid w:val="00B35253"/>
    <w:rsid w:val="00B40107"/>
    <w:rsid w:val="00B4093A"/>
    <w:rsid w:val="00B419F8"/>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5A56"/>
    <w:rsid w:val="00B75A7B"/>
    <w:rsid w:val="00B77EB1"/>
    <w:rsid w:val="00B811EC"/>
    <w:rsid w:val="00B81ED2"/>
    <w:rsid w:val="00B82F3D"/>
    <w:rsid w:val="00B83530"/>
    <w:rsid w:val="00B85972"/>
    <w:rsid w:val="00B87120"/>
    <w:rsid w:val="00B92979"/>
    <w:rsid w:val="00B929A5"/>
    <w:rsid w:val="00B939A6"/>
    <w:rsid w:val="00B94955"/>
    <w:rsid w:val="00B97C33"/>
    <w:rsid w:val="00B97F73"/>
    <w:rsid w:val="00BA020D"/>
    <w:rsid w:val="00BA0A81"/>
    <w:rsid w:val="00BA0C8A"/>
    <w:rsid w:val="00BA1E37"/>
    <w:rsid w:val="00BA3BEE"/>
    <w:rsid w:val="00BA4901"/>
    <w:rsid w:val="00BA49CA"/>
    <w:rsid w:val="00BA5F2A"/>
    <w:rsid w:val="00BA6C29"/>
    <w:rsid w:val="00BA72BD"/>
    <w:rsid w:val="00BB026F"/>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53E"/>
    <w:rsid w:val="00C31597"/>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B10E5"/>
    <w:rsid w:val="00CB1D32"/>
    <w:rsid w:val="00CB40EE"/>
    <w:rsid w:val="00CB5CC4"/>
    <w:rsid w:val="00CC0E6A"/>
    <w:rsid w:val="00CC19E0"/>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2C94"/>
    <w:rsid w:val="00D83969"/>
    <w:rsid w:val="00D84D1C"/>
    <w:rsid w:val="00D86311"/>
    <w:rsid w:val="00D90188"/>
    <w:rsid w:val="00D92D5B"/>
    <w:rsid w:val="00D93206"/>
    <w:rsid w:val="00D95007"/>
    <w:rsid w:val="00D96879"/>
    <w:rsid w:val="00D97E9B"/>
    <w:rsid w:val="00D97EA9"/>
    <w:rsid w:val="00DA0BA0"/>
    <w:rsid w:val="00DA21B4"/>
    <w:rsid w:val="00DA6571"/>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C2E"/>
    <w:rsid w:val="00DD3CE5"/>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1633"/>
    <w:rsid w:val="00E417E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71B2"/>
    <w:rsid w:val="00F672FE"/>
    <w:rsid w:val="00F673C4"/>
    <w:rsid w:val="00F7022D"/>
    <w:rsid w:val="00F70FF1"/>
    <w:rsid w:val="00F70FFA"/>
    <w:rsid w:val="00F728F6"/>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26B"/>
    <w:rsid w:val="00FD1A59"/>
    <w:rsid w:val="00FD1EF9"/>
    <w:rsid w:val="00FD5BD5"/>
    <w:rsid w:val="00FD7DA4"/>
    <w:rsid w:val="00FD7E01"/>
    <w:rsid w:val="00FE16FC"/>
    <w:rsid w:val="00FE21A5"/>
    <w:rsid w:val="00FE33DE"/>
    <w:rsid w:val="00FE57C9"/>
    <w:rsid w:val="00FE7485"/>
    <w:rsid w:val="00FF15DA"/>
    <w:rsid w:val="00FF1B46"/>
    <w:rsid w:val="00FF2067"/>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sv-S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sv-SE" w:eastAsia="sv-SE" w:bidi="sv-SE"/>
    </w:rPr>
  </w:style>
  <w:style w:type="character" w:customStyle="1" w:styleId="Heading2Char">
    <w:name w:val="Heading 2 Char"/>
    <w:basedOn w:val="DefaultParagraphFont"/>
    <w:link w:val="Heading2"/>
    <w:qFormat/>
    <w:locked/>
    <w:rsid w:val="003B283B"/>
    <w:rPr>
      <w:rFonts w:ascii="Times New Roman" w:hAnsi="Times New Roman"/>
      <w:sz w:val="22"/>
      <w:lang w:val="sv-SE" w:eastAsia="sv-SE" w:bidi="sv-SE"/>
    </w:rPr>
  </w:style>
  <w:style w:type="character" w:customStyle="1" w:styleId="Heading3Char">
    <w:name w:val="Heading 3 Char"/>
    <w:basedOn w:val="DefaultParagraphFont"/>
    <w:link w:val="Heading3"/>
    <w:locked/>
    <w:rsid w:val="003B283B"/>
    <w:rPr>
      <w:rFonts w:ascii="Times New Roman" w:hAnsi="Times New Roman"/>
      <w:sz w:val="22"/>
      <w:lang w:val="sv-SE" w:eastAsia="sv-SE" w:bidi="sv-SE"/>
    </w:rPr>
  </w:style>
  <w:style w:type="character" w:customStyle="1" w:styleId="Heading4Char">
    <w:name w:val="Heading 4 Char"/>
    <w:basedOn w:val="DefaultParagraphFont"/>
    <w:link w:val="Heading4"/>
    <w:locked/>
    <w:rsid w:val="003B283B"/>
    <w:rPr>
      <w:rFonts w:ascii="Times New Roman" w:hAnsi="Times New Roman"/>
      <w:sz w:val="22"/>
      <w:lang w:val="sv-SE" w:eastAsia="sv-SE" w:bidi="sv-SE"/>
    </w:rPr>
  </w:style>
  <w:style w:type="character" w:customStyle="1" w:styleId="Heading5Char">
    <w:name w:val="Heading 5 Char"/>
    <w:basedOn w:val="DefaultParagraphFont"/>
    <w:link w:val="Heading5"/>
    <w:locked/>
    <w:rsid w:val="003B283B"/>
    <w:rPr>
      <w:rFonts w:ascii="Times New Roman" w:hAnsi="Times New Roman"/>
      <w:sz w:val="22"/>
      <w:lang w:val="sv-SE" w:eastAsia="sv-SE" w:bidi="sv-SE"/>
    </w:rPr>
  </w:style>
  <w:style w:type="character" w:customStyle="1" w:styleId="Heading6Char">
    <w:name w:val="Heading 6 Char"/>
    <w:basedOn w:val="DefaultParagraphFont"/>
    <w:link w:val="Heading6"/>
    <w:locked/>
    <w:rsid w:val="003B283B"/>
    <w:rPr>
      <w:rFonts w:ascii="Times New Roman" w:hAnsi="Times New Roman"/>
      <w:sz w:val="22"/>
      <w:lang w:val="sv-SE" w:eastAsia="sv-SE" w:bidi="sv-SE"/>
    </w:rPr>
  </w:style>
  <w:style w:type="character" w:customStyle="1" w:styleId="Heading7Char">
    <w:name w:val="Heading 7 Char"/>
    <w:basedOn w:val="DefaultParagraphFont"/>
    <w:link w:val="Heading7"/>
    <w:locked/>
    <w:rsid w:val="003B283B"/>
    <w:rPr>
      <w:rFonts w:ascii="Times New Roman" w:hAnsi="Times New Roman"/>
      <w:sz w:val="22"/>
      <w:lang w:val="sv-SE" w:eastAsia="sv-SE" w:bidi="sv-SE"/>
    </w:rPr>
  </w:style>
  <w:style w:type="character" w:customStyle="1" w:styleId="Heading8Char">
    <w:name w:val="Heading 8 Char"/>
    <w:basedOn w:val="DefaultParagraphFont"/>
    <w:link w:val="Heading8"/>
    <w:locked/>
    <w:rsid w:val="003B283B"/>
    <w:rPr>
      <w:rFonts w:ascii="Times New Roman" w:hAnsi="Times New Roman"/>
      <w:sz w:val="22"/>
      <w:lang w:val="sv-SE" w:eastAsia="sv-SE" w:bidi="sv-SE"/>
    </w:rPr>
  </w:style>
  <w:style w:type="character" w:customStyle="1" w:styleId="Heading9Char">
    <w:name w:val="Heading 9 Char"/>
    <w:basedOn w:val="DefaultParagraphFont"/>
    <w:link w:val="Heading9"/>
    <w:locked/>
    <w:rsid w:val="003B283B"/>
    <w:rPr>
      <w:rFonts w:ascii="Times New Roman" w:hAnsi="Times New Roman"/>
      <w:sz w:val="22"/>
      <w:lang w:val="sv-SE" w:eastAsia="sv-SE" w:bidi="sv-SE"/>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sv-SE" w:eastAsia="sv-SE" w:bidi="sv-SE"/>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sv-SE" w:eastAsia="sv-SE" w:bidi="sv-SE"/>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sv-S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sv-SE" w:eastAsia="sv-SE" w:bidi="sv-SE"/>
    </w:rPr>
  </w:style>
  <w:style w:type="character" w:customStyle="1" w:styleId="Heading2Char">
    <w:name w:val="Heading 2 Char"/>
    <w:basedOn w:val="DefaultParagraphFont"/>
    <w:link w:val="Heading2"/>
    <w:qFormat/>
    <w:locked/>
    <w:rsid w:val="003B283B"/>
    <w:rPr>
      <w:rFonts w:ascii="Times New Roman" w:hAnsi="Times New Roman"/>
      <w:sz w:val="22"/>
      <w:lang w:val="sv-SE" w:eastAsia="sv-SE" w:bidi="sv-SE"/>
    </w:rPr>
  </w:style>
  <w:style w:type="character" w:customStyle="1" w:styleId="Heading3Char">
    <w:name w:val="Heading 3 Char"/>
    <w:basedOn w:val="DefaultParagraphFont"/>
    <w:link w:val="Heading3"/>
    <w:locked/>
    <w:rsid w:val="003B283B"/>
    <w:rPr>
      <w:rFonts w:ascii="Times New Roman" w:hAnsi="Times New Roman"/>
      <w:sz w:val="22"/>
      <w:lang w:val="sv-SE" w:eastAsia="sv-SE" w:bidi="sv-SE"/>
    </w:rPr>
  </w:style>
  <w:style w:type="character" w:customStyle="1" w:styleId="Heading4Char">
    <w:name w:val="Heading 4 Char"/>
    <w:basedOn w:val="DefaultParagraphFont"/>
    <w:link w:val="Heading4"/>
    <w:locked/>
    <w:rsid w:val="003B283B"/>
    <w:rPr>
      <w:rFonts w:ascii="Times New Roman" w:hAnsi="Times New Roman"/>
      <w:sz w:val="22"/>
      <w:lang w:val="sv-SE" w:eastAsia="sv-SE" w:bidi="sv-SE"/>
    </w:rPr>
  </w:style>
  <w:style w:type="character" w:customStyle="1" w:styleId="Heading5Char">
    <w:name w:val="Heading 5 Char"/>
    <w:basedOn w:val="DefaultParagraphFont"/>
    <w:link w:val="Heading5"/>
    <w:locked/>
    <w:rsid w:val="003B283B"/>
    <w:rPr>
      <w:rFonts w:ascii="Times New Roman" w:hAnsi="Times New Roman"/>
      <w:sz w:val="22"/>
      <w:lang w:val="sv-SE" w:eastAsia="sv-SE" w:bidi="sv-SE"/>
    </w:rPr>
  </w:style>
  <w:style w:type="character" w:customStyle="1" w:styleId="Heading6Char">
    <w:name w:val="Heading 6 Char"/>
    <w:basedOn w:val="DefaultParagraphFont"/>
    <w:link w:val="Heading6"/>
    <w:locked/>
    <w:rsid w:val="003B283B"/>
    <w:rPr>
      <w:rFonts w:ascii="Times New Roman" w:hAnsi="Times New Roman"/>
      <w:sz w:val="22"/>
      <w:lang w:val="sv-SE" w:eastAsia="sv-SE" w:bidi="sv-SE"/>
    </w:rPr>
  </w:style>
  <w:style w:type="character" w:customStyle="1" w:styleId="Heading7Char">
    <w:name w:val="Heading 7 Char"/>
    <w:basedOn w:val="DefaultParagraphFont"/>
    <w:link w:val="Heading7"/>
    <w:locked/>
    <w:rsid w:val="003B283B"/>
    <w:rPr>
      <w:rFonts w:ascii="Times New Roman" w:hAnsi="Times New Roman"/>
      <w:sz w:val="22"/>
      <w:lang w:val="sv-SE" w:eastAsia="sv-SE" w:bidi="sv-SE"/>
    </w:rPr>
  </w:style>
  <w:style w:type="character" w:customStyle="1" w:styleId="Heading8Char">
    <w:name w:val="Heading 8 Char"/>
    <w:basedOn w:val="DefaultParagraphFont"/>
    <w:link w:val="Heading8"/>
    <w:locked/>
    <w:rsid w:val="003B283B"/>
    <w:rPr>
      <w:rFonts w:ascii="Times New Roman" w:hAnsi="Times New Roman"/>
      <w:sz w:val="22"/>
      <w:lang w:val="sv-SE" w:eastAsia="sv-SE" w:bidi="sv-SE"/>
    </w:rPr>
  </w:style>
  <w:style w:type="character" w:customStyle="1" w:styleId="Heading9Char">
    <w:name w:val="Heading 9 Char"/>
    <w:basedOn w:val="DefaultParagraphFont"/>
    <w:link w:val="Heading9"/>
    <w:locked/>
    <w:rsid w:val="003B283B"/>
    <w:rPr>
      <w:rFonts w:ascii="Times New Roman" w:hAnsi="Times New Roman"/>
      <w:sz w:val="22"/>
      <w:lang w:val="sv-SE" w:eastAsia="sv-SE" w:bidi="sv-SE"/>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sv-SE" w:eastAsia="sv-SE" w:bidi="sv-SE"/>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sv-SE" w:eastAsia="sv-SE" w:bidi="sv-SE"/>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ean-pierre.faure@eesc.europa.e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gerald.klec@eesc.europa.e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june.bedaton@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ztina.PerlakyToth@eesc.europa.eu"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juri.soosaar@eesc.europa.eu" TargetMode="External"/><Relationship Id="rId28" Type="http://schemas.openxmlformats.org/officeDocument/2006/relationships/hyperlink" Target="mailto:jana.valant@eesc.europa.eu" TargetMode="Externa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ia.MendezDelRioCabr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claudia.drewes-wran@eesc.europa.eu" TargetMode="External"/><Relationship Id="rId27" Type="http://schemas.openxmlformats.org/officeDocument/2006/relationships/hyperlink" Target="mailto:jana.valant@eesc.europa.eu" TargetMode="External"/><Relationship Id="rId30" Type="http://schemas.openxmlformats.org/officeDocument/2006/relationships/hyperlink" Target="mailto:natalia.agapiou@eesc.europa.eu"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WTPCSN73YJ26-6-6107</_dlc_DocId>
    <_dlc_DocIdUrl xmlns="8a3471f6-0f36-4ccf-b5ee-1ca67ea797ef">
      <Url>http://dm/EESC/2017/_layouts/DocIdRedir.aspx?ID=WTPCSN73YJ26-6-6107</Url>
      <Description>WTPCSN73YJ26-6-6107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2017-10-09T12:00:00+00:00</ProductionDate>
    <DocumentNumber xmlns="a69ddb54-d4ad-4195-8174-7b7c39303c90">3479</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2017-09-20T12:00:00+00:00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TaxCatchAll xmlns="8a3471f6-0f36-4ccf-b5ee-1ca67ea797ef">
      <Value>31</Value>
      <Value>38</Value>
      <Value>37</Value>
      <Value>36</Value>
      <Value>35</Value>
      <Value>34</Value>
      <Value>33</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10584</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D438EE20-8C8B-48D8-8152-D440DE653E4D}"/>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3F40A79A-B74A-43ED-85FB-60C02D98CE2A}"/>
</file>

<file path=docProps/app.xml><?xml version="1.0" encoding="utf-8"?>
<Properties xmlns="http://schemas.openxmlformats.org/officeDocument/2006/extended-properties" xmlns:vt="http://schemas.openxmlformats.org/officeDocument/2006/docPropsVTypes">
  <Template>Styles</Template>
  <TotalTime>7</TotalTime>
  <Pages>4</Pages>
  <Words>2746</Words>
  <Characters>18704</Characters>
  <Application>Microsoft Office Word</Application>
  <DocSecurity>0</DocSecurity>
  <Lines>423</Lines>
  <Paragraphs>163</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yttranden plenarsessionen september 2017</dc:title>
  <dc:subject>Diverse dokument i samband med yttranden m.m.</dc:subject>
  <dc:creator/>
  <cp:keywords>EESC-2017-03479-00-01-TCD-TRA-SV</cp:keywords>
  <dc:description>Föredragande: -_x000d_
Originalspråk: FR, EN_x000d_
Dokumentets datum: 09/10/2017_x000d_
Sammanträdesdatum: 20/09/2017_x000d_
Externa dokument: -_x000d_
Ansvarig tjänsteman: Cosmai Domenico, tfn: +32 (0)2 546 9041_x000d_
_x000d_
Sammanfattning:</dc:description>
  <cp:lastModifiedBy>Maria Elisabeth Johanna Tuomi</cp:lastModifiedBy>
  <cp:revision>11</cp:revision>
  <cp:lastPrinted>2017-09-28T10:08:00Z</cp:lastPrinted>
  <dcterms:created xsi:type="dcterms:W3CDTF">2017-10-05T08:53:00Z</dcterms:created>
  <dcterms:modified xsi:type="dcterms:W3CDTF">2017-10-09T10:53:00Z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05/10/2017, 13/09/2017, 03/07/2017, 12/06/2017, 02/06/2017, 24/04/2017, 23/03/2017, 13/12/2016, 15/09/2016, 14/09/2016, 14/09/2016, 12/07/2016, 30/06/2016, 29/06/2016, 23/05/2016, 23/05/2016, 25/04/2016, 25/04/2016, 14/03/2016, 11/03/2016, 11/03/2016, 15/</vt:lpwstr>
  </property>
  <property fmtid="{D5CDD505-2E9C-101B-9397-08002B2CF9AE}" pid="4" name="Pref_Time">
    <vt:lpwstr>10:53:59, 11:23:50, 09:51:12, 14:43:57, 12:54:34, 12:22:33, 12:08:44, 12:23:59, 18:12:41, 09:48:43, 08:36:59, 11:43:50, 09:30:52, 17:35:55, 17:02:49, 16:30:20, 11:28:20, 09:54:52, 08:31:22, 17:08:54, 15:59:23, 12:27:50, 12:09:16, 09:49:23, 17:26:57, 16:09</vt:lpwstr>
  </property>
  <property fmtid="{D5CDD505-2E9C-101B-9397-08002B2CF9AE}" pid="5" name="Pref_User">
    <vt:lpwstr>enied, tvoc, amett, hnic, mreg, mreg, enied, mreg, jhvi, tvoc, htoo, mreg, tvoc, hnic, mreg, hnic, amett, nmcg, amett, enied, nmcg, amett, enied, ymur, tvoc, nmcg, vvos, ssex, vvos, vvos, mkop, nmcg, amett, htoo, tvoc, dtai, nmcg, amett, ymur, amett, YMUR</vt:lpwstr>
  </property>
  <property fmtid="{D5CDD505-2E9C-101B-9397-08002B2CF9AE}" pid="6" name="Pref_FileName">
    <vt:lpwstr>EESC-2017-03479-00-01-TCD-ORI.docx, EESC-2017-03479-00-00-TCD-ORI.docx, EESC-2017-02707-00-00-TCD-ORI.docx, EESC-2017-02321-00-01-TCD-ORI.docx, EESC-2017-02321-00-00-TCD-ORI.docx, EESC-2017-01743-00-00-TCD-ORI.docx, EESC-2017-01003-00-00-TCD-ORI.docx, EES</vt:lpwstr>
  </property>
  <property fmtid="{D5CDD505-2E9C-101B-9397-08002B2CF9AE}" pid="7" name="ContentTypeId">
    <vt:lpwstr>0x010100EA97B91038054C99906057A708A1480A000224593A4FB8494193408E2BE75730F3</vt:lpwstr>
  </property>
  <property fmtid="{D5CDD505-2E9C-101B-9397-08002B2CF9AE}" pid="8" name="_dlc_DocIdItemGuid">
    <vt:lpwstr>daff43e7-cb32-476d-b11e-f30cacae9e3f</vt:lpwstr>
  </property>
  <property fmtid="{D5CDD505-2E9C-101B-9397-08002B2CF9AE}" pid="9" name="AvailableTranslations">
    <vt:lpwstr>29;#HU|6b229040-c589-4408-b4c1-4285663d20a8;#22;#IT|0774613c-01ed-4e5d-a25d-11d2388de825;#27;#CS|72f9705b-0217-4fd3-bea2-cbc7ed80e26e;#35;#SL|98a412ae-eb01-49e9-ae3d-585a81724cfc;#36;#BG|1a1b3951-7821-4e6a-85f5-5673fc08bd2c;#38;#HR|2f555653-ed1a-4fe6-8362-9082d95989e5;#25;#FI|87606a43-d45f-42d6-b8c9-e1a3457db5b7;#12;#NL|55c6556c-b4f4-441d-9acf-c498d4f838bd;#8;#FR|d2afafd3-4c81-4f60-8f52-ee33f2f54ff3;#23;#DA|5d49c027-8956-412b-aa16-e85a0f96ad0e;#4;#EN|f2175f21-25d7-44a3-96da-d6a61b075e1b;#28;#ET|ff6c3f4c-b02c-4c3c-ab07-2c37995a7a0a;#14;#ES|e7a6b05b-ae16-40c8-add9-68b64b03aeba;#34;#SK|46d9fce0-ef79-4f71-b89b-cd6aa82426b8;#33;#PL|1e03da61-4678-4e07-b136-b5024ca9197b;#15;#PT|50ccc04a-eadd-42ae-a0cb-acaf45f812ba;#37;#RO|feb747a2-64cd-4299-af12-4833ddc30497;#24;#EL|6d4f4d51-af9b-4650-94b4-4276bee85c91;#26;#SV|c2ed69e7-a339-43d7-8f22-d93680a92aa0;#30;#LV|46f7e311-5d9f-4663-b433-18aeccb7ace7;#31;#LT|a7ff5ce7-6123-4f68-865a-a57c31810414;#18;#DE|f6b31e5a-26fa-4935-b661-318e46daf27e</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26;#SV|c2ed69e7-a339-43d7-8f22-d93680a92aa0</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3479</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2017-09-20T12:00:00Z</vt:filetime>
  </property>
  <property fmtid="{D5CDD505-2E9C-101B-9397-08002B2CF9AE}" pid="30" name="DocumentLanguage_0">
    <vt:lpwstr>FR|d2afafd3-4c81-4f60-8f52-ee33f2f54ff3</vt:lpwstr>
  </property>
  <property fmtid="{D5CDD505-2E9C-101B-9397-08002B2CF9AE}" pid="31" name="TaxCatchAll">
    <vt:lpwstr>37;#RO|feb747a2-64cd-4299-af12-4833ddc30497;#35;#SL|98a412ae-eb01-49e9-ae3d-585a81724cfc;#34;#SK|46d9fce0-ef79-4f71-b89b-cd6aa82426b8;#33;#PL|1e03da61-4678-4e07-b136-b5024ca9197b;#25;#FI|87606a43-d45f-42d6-b8c9-e1a3457db5b7;#28;#ET|ff6c3f4c-b02c-4c3c-ab07-2c37995a7a0a;#27;#CS|72f9705b-0217-4fd3-bea2-cbc7ed80e26e;#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10584</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IT|0774613c-01ed-4e5d-a25d-11d2388de825;CS|72f9705b-0217-4fd3-bea2-cbc7ed80e26e;SL|98a412ae-eb01-49e9-ae3d-585a81724cfc;FI|87606a43-d45f-42d6-b8c9-e1a3457db5b7;NL|55c6556c-b4f4-441d-9acf-c498d4f838bd;FR|d2afafd3-4c81-4f60-8f52-ee33f2f54ff3;DA|5d49c027-8956-412b-aa16-e85a0f96ad0e;ET|ff6c3f4c-b02c-4c3c-ab07-2c37995a7a0a;ES|e7a6b05b-ae16-40c8-add9-68b64b03aeba;SK|46d9fce0-ef79-4f71-b89b-cd6aa82426b8;PL|1e03da61-4678-4e07-b136-b5024ca9197b;PT|50ccc04a-eadd-42ae-a0cb-acaf45f812ba;RO|feb747a2-64cd-4299-af12-4833ddc30497;EL|6d4f4d51-af9b-4650-94b4-4276bee85c91;DE|f6b31e5a-26fa-4935-b661-318e46daf27e</vt:lpwstr>
  </property>
</Properties>
</file>