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5D" w:rsidRPr="00B55C2F" w:rsidRDefault="00CA367D" w:rsidP="000F515D">
      <w:pPr>
        <w:ind w:right="-108"/>
        <w:jc w:val="center"/>
      </w:pPr>
      <w:r w:rsidRPr="00B55C2F">
        <w:rPr>
          <w:noProof/>
          <w:sz w:val="20"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FFDB53D" wp14:editId="731EEA01">
                <wp:simplePos x="0" y="0"/>
                <wp:positionH relativeFrom="page">
                  <wp:posOffset>6767830</wp:posOffset>
                </wp:positionH>
                <wp:positionV relativeFrom="page">
                  <wp:posOffset>10079990</wp:posOffset>
                </wp:positionV>
                <wp:extent cx="647700" cy="396240"/>
                <wp:effectExtent l="0" t="0" r="0" b="381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67D" w:rsidRPr="00CA367D" w:rsidRDefault="00CA367D" w:rsidP="00CA367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2.9pt;margin-top:793.7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" o:allowincell="f" filled="f" stroked="f">
                <v:textbox>
                  <w:txbxContent>
                    <w:p w:rsidR="00CA367D" w:rsidRPr="00CA367D" w:rsidRDefault="00CA367D" w:rsidP="00CA367D">
                      <w:pPr>
                        <w:jc w:val="center"/>
                        <w:rPr>
                          <w:rFonts w:ascii="Arial" w:hAnsi="Arial"/>
                          <w:b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FR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55C2F">
        <w:rPr>
          <w:noProof/>
          <w:lang w:val="fr-BE" w:eastAsia="fr-BE" w:bidi="ar-SA"/>
        </w:rPr>
        <w:drawing>
          <wp:inline distT="0" distB="0" distL="0" distR="0" wp14:anchorId="04042A85" wp14:editId="2EDFD110">
            <wp:extent cx="882650" cy="5568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15D" w:rsidRPr="00B55C2F" w:rsidRDefault="000F515D" w:rsidP="000F515D">
      <w:pPr>
        <w:ind w:right="-108"/>
        <w:jc w:val="center"/>
        <w:rPr>
          <w:rFonts w:ascii="Arial" w:hAnsi="Arial" w:cs="Arial"/>
          <w:b/>
          <w:i/>
          <w:sz w:val="20"/>
        </w:rPr>
      </w:pPr>
      <w:r w:rsidRPr="00B55C2F">
        <w:rPr>
          <w:rFonts w:ascii="Arial" w:hAnsi="Arial"/>
          <w:b/>
          <w:i/>
          <w:sz w:val="20"/>
        </w:rPr>
        <w:t>Comité économique et social européen</w:t>
      </w:r>
    </w:p>
    <w:p w:rsidR="000F515D" w:rsidRPr="00B55C2F" w:rsidRDefault="000F515D" w:rsidP="000F515D">
      <w:pPr>
        <w:ind w:right="-108"/>
        <w:jc w:val="center"/>
        <w:rPr>
          <w:rFonts w:ascii="Arial" w:hAnsi="Arial" w:cs="Arial"/>
          <w:b/>
          <w:i/>
          <w:sz w:val="20"/>
        </w:rPr>
      </w:pPr>
      <w:r w:rsidRPr="00B55C2F">
        <w:rPr>
          <w:rFonts w:ascii="Arial" w:hAnsi="Arial"/>
          <w:b/>
          <w:i/>
          <w:sz w:val="20"/>
        </w:rPr>
        <w:t>Direction B – Travaux législatifs</w:t>
      </w:r>
    </w:p>
    <w:p w:rsidR="000F515D" w:rsidRPr="00B55C2F" w:rsidRDefault="000F515D" w:rsidP="000F515D">
      <w:pPr>
        <w:jc w:val="center"/>
        <w:rPr>
          <w:rFonts w:ascii="Arial" w:hAnsi="Arial" w:cs="Arial"/>
          <w:b/>
          <w:i/>
          <w:sz w:val="20"/>
        </w:rPr>
      </w:pPr>
      <w:r w:rsidRPr="00B55C2F">
        <w:rPr>
          <w:rFonts w:ascii="Arial" w:hAnsi="Arial"/>
          <w:b/>
          <w:i/>
          <w:sz w:val="20"/>
        </w:rPr>
        <w:t>Section spécialisée «Union économique et monétaire et cohésion économique et sociale»</w:t>
      </w:r>
    </w:p>
    <w:p w:rsidR="000F515D" w:rsidRPr="00B55C2F" w:rsidRDefault="000F515D" w:rsidP="00442EED">
      <w:pPr>
        <w:rPr>
          <w:rFonts w:eastAsia="PMingLiU"/>
        </w:rPr>
      </w:pPr>
    </w:p>
    <w:p w:rsidR="000011B3" w:rsidRPr="00B55C2F" w:rsidRDefault="000011B3" w:rsidP="00442EED">
      <w:pPr>
        <w:rPr>
          <w:rFonts w:eastAsia="PMingLiU"/>
        </w:rPr>
      </w:pPr>
    </w:p>
    <w:p w:rsidR="00996CF4" w:rsidRPr="00B55C2F" w:rsidRDefault="00996CF4" w:rsidP="006B79EB">
      <w:pPr>
        <w:jc w:val="center"/>
        <w:rPr>
          <w:rFonts w:eastAsia="PMingLiU"/>
          <w:b/>
          <w:sz w:val="24"/>
        </w:rPr>
      </w:pPr>
      <w:r w:rsidRPr="00B55C2F">
        <w:rPr>
          <w:b/>
          <w:sz w:val="24"/>
        </w:rPr>
        <w:t>Priorités de la section ECO pour 2018 et au-delà</w:t>
      </w:r>
    </w:p>
    <w:p w:rsidR="00996CF4" w:rsidRPr="00B55C2F" w:rsidRDefault="00996CF4">
      <w:pPr>
        <w:rPr>
          <w:rFonts w:ascii="TimesNewRoman" w:eastAsia="PMingLiU" w:hAnsi="TimesNewRoman"/>
        </w:rPr>
      </w:pPr>
    </w:p>
    <w:p w:rsidR="000011B3" w:rsidRPr="00B55C2F" w:rsidRDefault="000011B3" w:rsidP="00D3457D">
      <w:pPr>
        <w:jc w:val="center"/>
        <w:rPr>
          <w:rFonts w:ascii="TimesNewRoman" w:eastAsia="PMingLiU" w:hAnsi="TimesNewRoman"/>
        </w:rPr>
      </w:pPr>
      <w:r w:rsidRPr="00B55C2F">
        <w:rPr>
          <w:rFonts w:ascii="TimesNewRoman" w:hAnsi="TimesNewRoman"/>
          <w:b/>
          <w:sz w:val="24"/>
        </w:rPr>
        <w:t>Synthèse</w:t>
      </w:r>
    </w:p>
    <w:p w:rsidR="00F62E0F" w:rsidRPr="00B55C2F" w:rsidRDefault="00F62E0F" w:rsidP="00442EED"/>
    <w:p w:rsidR="00EF2BB7" w:rsidRPr="00B55C2F" w:rsidRDefault="004D3BA8" w:rsidP="00A47289">
      <w:pPr>
        <w:pStyle w:val="Heading1"/>
      </w:pPr>
      <w:r w:rsidRPr="00B55C2F">
        <w:rPr>
          <w:b/>
        </w:rPr>
        <w:t>Gouvernance économique et approfondissement de l</w:t>
      </w:r>
      <w:r w:rsidR="00D56B89" w:rsidRPr="00B55C2F">
        <w:rPr>
          <w:b/>
        </w:rPr>
        <w:t>’</w:t>
      </w:r>
      <w:r w:rsidRPr="00B55C2F">
        <w:rPr>
          <w:b/>
        </w:rPr>
        <w:t>UEM</w:t>
      </w:r>
    </w:p>
    <w:p w:rsidR="00EF2BB7" w:rsidRPr="00B55C2F" w:rsidRDefault="00EF2BB7"/>
    <w:p w:rsidR="00F10377" w:rsidRPr="00B55C2F" w:rsidRDefault="00496201" w:rsidP="00D3457D">
      <w:pPr>
        <w:pStyle w:val="ListParagraph"/>
        <w:numPr>
          <w:ilvl w:val="0"/>
          <w:numId w:val="8"/>
        </w:numPr>
        <w:tabs>
          <w:tab w:val="clear" w:pos="0"/>
        </w:tabs>
        <w:ind w:left="850"/>
      </w:pPr>
      <w:r w:rsidRPr="00B55C2F">
        <w:t>Au cours des prochaines années, la section ECO gardera pour principales priorités de mettre l</w:t>
      </w:r>
      <w:r w:rsidR="00D56B89" w:rsidRPr="00B55C2F">
        <w:t>’</w:t>
      </w:r>
      <w:r w:rsidRPr="00B55C2F">
        <w:t>économie européenne sur la voie d</w:t>
      </w:r>
      <w:r w:rsidR="00D56B89" w:rsidRPr="00B55C2F">
        <w:t>’</w:t>
      </w:r>
      <w:r w:rsidRPr="00B55C2F">
        <w:t>une convergence, d</w:t>
      </w:r>
      <w:r w:rsidR="00D56B89" w:rsidRPr="00B55C2F">
        <w:t>’</w:t>
      </w:r>
      <w:r w:rsidRPr="00B55C2F">
        <w:t>une croissance et d</w:t>
      </w:r>
      <w:r w:rsidR="00D56B89" w:rsidRPr="00B55C2F">
        <w:t>’</w:t>
      </w:r>
      <w:r w:rsidRPr="00B55C2F">
        <w:t>une création d</w:t>
      </w:r>
      <w:r w:rsidR="00D56B89" w:rsidRPr="00B55C2F">
        <w:t>’</w:t>
      </w:r>
      <w:r w:rsidRPr="00B55C2F">
        <w:t>emplois durables. Un processus graduel d</w:t>
      </w:r>
      <w:r w:rsidR="00D56B89" w:rsidRPr="00B55C2F">
        <w:t>’</w:t>
      </w:r>
      <w:r w:rsidRPr="00B55C2F">
        <w:rPr>
          <w:b/>
        </w:rPr>
        <w:t>approfondissement et d</w:t>
      </w:r>
      <w:r w:rsidR="00D56B89" w:rsidRPr="00B55C2F">
        <w:rPr>
          <w:b/>
        </w:rPr>
        <w:t>’</w:t>
      </w:r>
      <w:r w:rsidRPr="00B55C2F">
        <w:rPr>
          <w:b/>
        </w:rPr>
        <w:t>achèvement de l</w:t>
      </w:r>
      <w:r w:rsidR="00D56B89" w:rsidRPr="00B55C2F">
        <w:rPr>
          <w:b/>
        </w:rPr>
        <w:t>’</w:t>
      </w:r>
      <w:r w:rsidRPr="00B55C2F">
        <w:rPr>
          <w:b/>
        </w:rPr>
        <w:t>UEM</w:t>
      </w:r>
      <w:r w:rsidRPr="00B55C2F">
        <w:t xml:space="preserve"> est essentiel à une reprise durable et équilibrée.</w:t>
      </w:r>
    </w:p>
    <w:p w:rsidR="00AB4624" w:rsidRPr="00B55C2F" w:rsidRDefault="000011B3" w:rsidP="00D3457D">
      <w:pPr>
        <w:pStyle w:val="ListParagraph"/>
        <w:numPr>
          <w:ilvl w:val="0"/>
          <w:numId w:val="8"/>
        </w:numPr>
        <w:tabs>
          <w:tab w:val="clear" w:pos="0"/>
        </w:tabs>
        <w:ind w:left="850"/>
      </w:pPr>
      <w:r w:rsidRPr="00B55C2F">
        <w:t>La correction des déséquilibres persistants ainsi que la création d</w:t>
      </w:r>
      <w:r w:rsidR="00D56B89" w:rsidRPr="00B55C2F">
        <w:t>’</w:t>
      </w:r>
      <w:r w:rsidRPr="00B55C2F">
        <w:t>un climat de confiance à travers l</w:t>
      </w:r>
      <w:r w:rsidR="00D56B89" w:rsidRPr="00B55C2F">
        <w:t>’</w:t>
      </w:r>
      <w:r w:rsidRPr="00B55C2F">
        <w:t>Europe nécessitent une gouvernance économique plus efficace et plus démocratique, notamment au sein de la zone euro, en particulier compte tenu de facteurs supplémentaires d</w:t>
      </w:r>
      <w:r w:rsidR="00D56B89" w:rsidRPr="00B55C2F">
        <w:t>’</w:t>
      </w:r>
      <w:r w:rsidRPr="00B55C2F">
        <w:t xml:space="preserve">incertitude liés au </w:t>
      </w:r>
      <w:proofErr w:type="spellStart"/>
      <w:r w:rsidRPr="00B55C2F">
        <w:rPr>
          <w:b/>
        </w:rPr>
        <w:t>Brexit</w:t>
      </w:r>
      <w:proofErr w:type="spellEnd"/>
      <w:r w:rsidRPr="00B55C2F">
        <w:t xml:space="preserve">. </w:t>
      </w:r>
    </w:p>
    <w:p w:rsidR="00AB4624" w:rsidRPr="00B55C2F" w:rsidRDefault="00F10377" w:rsidP="00D3457D">
      <w:pPr>
        <w:pStyle w:val="ListParagraph"/>
        <w:numPr>
          <w:ilvl w:val="0"/>
          <w:numId w:val="8"/>
        </w:numPr>
        <w:tabs>
          <w:tab w:val="clear" w:pos="0"/>
        </w:tabs>
        <w:ind w:left="850"/>
      </w:pPr>
      <w:r w:rsidRPr="00B55C2F">
        <w:t xml:space="preserve">À cette fin, il conviendrait de prendre </w:t>
      </w:r>
      <w:r w:rsidRPr="00B55C2F">
        <w:rPr>
          <w:b/>
        </w:rPr>
        <w:t>à court terme, des mesures concrètes, qui sont possibles dans le cadre du traité actuel</w:t>
      </w:r>
      <w:r w:rsidRPr="00B55C2F">
        <w:t xml:space="preserve"> pour améliorer le semestre européen, le plan d</w:t>
      </w:r>
      <w:r w:rsidR="00D56B89" w:rsidRPr="00B55C2F">
        <w:t>’</w:t>
      </w:r>
      <w:r w:rsidRPr="00B55C2F">
        <w:t>investissement pour l</w:t>
      </w:r>
      <w:r w:rsidR="00D56B89" w:rsidRPr="00B55C2F">
        <w:t>’</w:t>
      </w:r>
      <w:r w:rsidRPr="00B55C2F">
        <w:t>Europe, la conception des réformes structurelles, l</w:t>
      </w:r>
      <w:r w:rsidR="00D56B89" w:rsidRPr="00B55C2F">
        <w:t>’</w:t>
      </w:r>
      <w:r w:rsidRPr="00B55C2F">
        <w:t>union bancaire et l</w:t>
      </w:r>
      <w:r w:rsidR="00D56B89" w:rsidRPr="00B55C2F">
        <w:t>’</w:t>
      </w:r>
      <w:r w:rsidRPr="00B55C2F">
        <w:t xml:space="preserve">union des marchés des capitaux, ainsi que la participation des parties prenantes au processus de prise de décision. </w:t>
      </w:r>
    </w:p>
    <w:p w:rsidR="00F10377" w:rsidRPr="00B55C2F" w:rsidRDefault="00F10377" w:rsidP="00D3457D">
      <w:pPr>
        <w:pStyle w:val="ListParagraph"/>
        <w:numPr>
          <w:ilvl w:val="0"/>
          <w:numId w:val="8"/>
        </w:numPr>
        <w:tabs>
          <w:tab w:val="clear" w:pos="0"/>
        </w:tabs>
        <w:ind w:left="850"/>
      </w:pPr>
      <w:r w:rsidRPr="00B55C2F">
        <w:t>À moyen et à long termes, une révision du traité devrait mettre les dispositions institutionnelles en adéquation avec les exigences indispensables d</w:t>
      </w:r>
      <w:r w:rsidR="00D56B89" w:rsidRPr="00B55C2F">
        <w:t>’</w:t>
      </w:r>
      <w:r w:rsidRPr="00B55C2F">
        <w:rPr>
          <w:b/>
        </w:rPr>
        <w:t>une véritable union économique, financière, sociale et politique</w:t>
      </w:r>
      <w:r w:rsidRPr="00B55C2F">
        <w:t>, notamment par l</w:t>
      </w:r>
      <w:r w:rsidR="00D56B89" w:rsidRPr="00B55C2F">
        <w:t>’</w:t>
      </w:r>
      <w:r w:rsidRPr="00B55C2F">
        <w:t>intermédiaire d</w:t>
      </w:r>
      <w:r w:rsidR="00D56B89" w:rsidRPr="00B55C2F">
        <w:t>’</w:t>
      </w:r>
      <w:r w:rsidRPr="00B55C2F">
        <w:t>une nouvelle convention constitutionnelle à laquelle participeraient activement les représentants de la société civile.</w:t>
      </w:r>
    </w:p>
    <w:p w:rsidR="00F62E0F" w:rsidRPr="00B55C2F" w:rsidRDefault="00F62E0F"/>
    <w:p w:rsidR="00996CF4" w:rsidRPr="00B55C2F" w:rsidRDefault="00EE6DDC" w:rsidP="00EE6DDC">
      <w:pPr>
        <w:pStyle w:val="Heading1"/>
      </w:pPr>
      <w:r w:rsidRPr="00B55C2F">
        <w:rPr>
          <w:b/>
        </w:rPr>
        <w:t>Stabilité des marchés financiers et financement de l</w:t>
      </w:r>
      <w:r w:rsidR="00D56B89" w:rsidRPr="00B55C2F">
        <w:rPr>
          <w:b/>
        </w:rPr>
        <w:t>’</w:t>
      </w:r>
      <w:r w:rsidRPr="00B55C2F">
        <w:rPr>
          <w:b/>
        </w:rPr>
        <w:t>économie</w:t>
      </w:r>
    </w:p>
    <w:p w:rsidR="00996CF4" w:rsidRPr="00B55C2F" w:rsidRDefault="00996CF4" w:rsidP="008059E7">
      <w:pPr>
        <w:keepNext/>
        <w:keepLines/>
      </w:pPr>
    </w:p>
    <w:p w:rsidR="0024459B" w:rsidRPr="00B55C2F" w:rsidRDefault="001D3438" w:rsidP="00D3457D">
      <w:pPr>
        <w:pStyle w:val="ListParagraph"/>
        <w:numPr>
          <w:ilvl w:val="0"/>
          <w:numId w:val="9"/>
        </w:numPr>
        <w:tabs>
          <w:tab w:val="clear" w:pos="0"/>
        </w:tabs>
        <w:ind w:left="850"/>
      </w:pPr>
      <w:r w:rsidRPr="00B55C2F">
        <w:t>Il convient de s</w:t>
      </w:r>
      <w:r w:rsidR="00D56B89" w:rsidRPr="00B55C2F">
        <w:t>’</w:t>
      </w:r>
      <w:r w:rsidRPr="00B55C2F">
        <w:t xml:space="preserve">attaquer de front à la </w:t>
      </w:r>
      <w:r w:rsidRPr="00B55C2F">
        <w:rPr>
          <w:b/>
        </w:rPr>
        <w:t>pénurie d</w:t>
      </w:r>
      <w:r w:rsidR="00D56B89" w:rsidRPr="00B55C2F">
        <w:rPr>
          <w:b/>
        </w:rPr>
        <w:t>’</w:t>
      </w:r>
      <w:r w:rsidRPr="00B55C2F">
        <w:rPr>
          <w:b/>
        </w:rPr>
        <w:t>investissements</w:t>
      </w:r>
      <w:r w:rsidRPr="00B55C2F">
        <w:t xml:space="preserve"> en augmentant et en diversifiant les sources de financement pour les entreprises européennes et les projets à long terme, dans le droit fil du plan d</w:t>
      </w:r>
      <w:r w:rsidR="00D56B89" w:rsidRPr="00B55C2F">
        <w:t>’</w:t>
      </w:r>
      <w:r w:rsidRPr="00B55C2F">
        <w:t>action pour l</w:t>
      </w:r>
      <w:r w:rsidR="00D56B89" w:rsidRPr="00B55C2F">
        <w:t>’</w:t>
      </w:r>
      <w:r w:rsidRPr="00B55C2F">
        <w:t>union des marchés des capitaux (</w:t>
      </w:r>
      <w:proofErr w:type="spellStart"/>
      <w:r w:rsidRPr="00B55C2F">
        <w:t>UMC</w:t>
      </w:r>
      <w:proofErr w:type="spellEnd"/>
      <w:r w:rsidRPr="00B55C2F">
        <w:t>).</w:t>
      </w:r>
    </w:p>
    <w:p w:rsidR="0024459B" w:rsidRPr="00B55C2F" w:rsidRDefault="00324A65" w:rsidP="00D3457D">
      <w:pPr>
        <w:pStyle w:val="ListParagraph"/>
        <w:numPr>
          <w:ilvl w:val="0"/>
          <w:numId w:val="9"/>
        </w:numPr>
        <w:tabs>
          <w:tab w:val="clear" w:pos="0"/>
        </w:tabs>
        <w:ind w:left="850"/>
      </w:pPr>
      <w:r w:rsidRPr="00B55C2F">
        <w:t xml:space="preserve">La </w:t>
      </w:r>
      <w:r w:rsidRPr="00B55C2F">
        <w:rPr>
          <w:b/>
        </w:rPr>
        <w:t>difficulté d</w:t>
      </w:r>
      <w:r w:rsidR="00D56B89" w:rsidRPr="00B55C2F">
        <w:rPr>
          <w:b/>
        </w:rPr>
        <w:t>’</w:t>
      </w:r>
      <w:r w:rsidRPr="00B55C2F">
        <w:rPr>
          <w:b/>
        </w:rPr>
        <w:t>accès au financement</w:t>
      </w:r>
      <w:r w:rsidRPr="00B55C2F">
        <w:t xml:space="preserve"> à laquelle se heurtent de nombreuses entreprises doit être prise très au sérieux. Il y a lieu en particulier de répondre aux besoins de financement des PME de manière prioritaire. </w:t>
      </w:r>
    </w:p>
    <w:p w:rsidR="00AD47A6" w:rsidRPr="00B55C2F" w:rsidRDefault="0024459B" w:rsidP="00D3457D">
      <w:pPr>
        <w:pStyle w:val="ListParagraph"/>
        <w:numPr>
          <w:ilvl w:val="0"/>
          <w:numId w:val="9"/>
        </w:numPr>
        <w:tabs>
          <w:tab w:val="clear" w:pos="0"/>
        </w:tabs>
        <w:ind w:left="850"/>
      </w:pPr>
      <w:r w:rsidRPr="00B55C2F">
        <w:t xml:space="preserve">Un </w:t>
      </w:r>
      <w:r w:rsidRPr="00B55C2F">
        <w:rPr>
          <w:b/>
        </w:rPr>
        <w:t>système financier résistant et fonctionnel et la stabilité financière</w:t>
      </w:r>
      <w:r w:rsidRPr="00B55C2F">
        <w:t xml:space="preserve"> sont des conditions indispensables à une croissance économique stable et durable.</w:t>
      </w:r>
    </w:p>
    <w:p w:rsidR="0024459B" w:rsidRPr="00B55C2F" w:rsidRDefault="00AD47A6" w:rsidP="00D3457D">
      <w:pPr>
        <w:pStyle w:val="ListParagraph"/>
        <w:numPr>
          <w:ilvl w:val="0"/>
          <w:numId w:val="9"/>
        </w:numPr>
        <w:tabs>
          <w:tab w:val="clear" w:pos="0"/>
        </w:tabs>
        <w:ind w:left="850"/>
      </w:pPr>
      <w:r w:rsidRPr="00B55C2F">
        <w:lastRenderedPageBreak/>
        <w:t>L</w:t>
      </w:r>
      <w:r w:rsidR="00D56B89" w:rsidRPr="00B55C2F">
        <w:t>’</w:t>
      </w:r>
      <w:r w:rsidRPr="00B55C2F">
        <w:rPr>
          <w:b/>
        </w:rPr>
        <w:t>achèvement de l</w:t>
      </w:r>
      <w:r w:rsidR="00D56B89" w:rsidRPr="00B55C2F">
        <w:rPr>
          <w:b/>
        </w:rPr>
        <w:t>’</w:t>
      </w:r>
      <w:r w:rsidRPr="00B55C2F">
        <w:rPr>
          <w:b/>
        </w:rPr>
        <w:t>Union bancaire</w:t>
      </w:r>
      <w:r w:rsidRPr="00B55C2F">
        <w:t xml:space="preserve"> et le soutien à un </w:t>
      </w:r>
      <w:r w:rsidRPr="00B55C2F">
        <w:rPr>
          <w:b/>
        </w:rPr>
        <w:t>partage accru des risques</w:t>
      </w:r>
      <w:r w:rsidRPr="00B55C2F">
        <w:t xml:space="preserve"> au sein de cette union sont donc primordiaux et doivent être complétés par de nouvelles mesures de réduction des risques.</w:t>
      </w:r>
    </w:p>
    <w:p w:rsidR="0024459B" w:rsidRPr="00B55C2F" w:rsidRDefault="0024459B" w:rsidP="00D3457D">
      <w:pPr>
        <w:pStyle w:val="ListParagraph"/>
        <w:numPr>
          <w:ilvl w:val="0"/>
          <w:numId w:val="9"/>
        </w:numPr>
        <w:tabs>
          <w:tab w:val="clear" w:pos="0"/>
        </w:tabs>
        <w:ind w:left="850"/>
      </w:pPr>
      <w:r w:rsidRPr="00B55C2F">
        <w:t>Pour le CESE, il importe que les réformes s</w:t>
      </w:r>
      <w:r w:rsidR="00D56B89" w:rsidRPr="00B55C2F">
        <w:t>’</w:t>
      </w:r>
      <w:r w:rsidRPr="00B55C2F">
        <w:t xml:space="preserve">appuient sur une approche globale et intégrée. </w:t>
      </w:r>
    </w:p>
    <w:p w:rsidR="0024459B" w:rsidRPr="00B55C2F" w:rsidRDefault="008F49B5" w:rsidP="00D3457D">
      <w:pPr>
        <w:pStyle w:val="ListParagraph"/>
        <w:numPr>
          <w:ilvl w:val="0"/>
          <w:numId w:val="9"/>
        </w:numPr>
        <w:tabs>
          <w:tab w:val="clear" w:pos="0"/>
        </w:tabs>
        <w:ind w:left="850"/>
      </w:pPr>
      <w:r w:rsidRPr="00B55C2F">
        <w:t>En outre, les caractéristiques et possibilités propres aux banques et sociétés d</w:t>
      </w:r>
      <w:r w:rsidR="00D56B89" w:rsidRPr="00B55C2F">
        <w:t>’</w:t>
      </w:r>
      <w:r w:rsidRPr="00B55C2F">
        <w:t>investissement de petite taille et peu complexes doivent être suffisamment prises en compte (proportionnalité).</w:t>
      </w:r>
    </w:p>
    <w:p w:rsidR="00232E5B" w:rsidRPr="00B55C2F" w:rsidRDefault="00BD2185" w:rsidP="00D3457D">
      <w:pPr>
        <w:pStyle w:val="ListParagraph"/>
        <w:numPr>
          <w:ilvl w:val="0"/>
          <w:numId w:val="9"/>
        </w:numPr>
        <w:tabs>
          <w:tab w:val="clear" w:pos="0"/>
        </w:tabs>
        <w:ind w:left="850"/>
      </w:pPr>
      <w:r w:rsidRPr="00B55C2F">
        <w:t>La sortie du Royaume-Uni de l</w:t>
      </w:r>
      <w:r w:rsidR="00D56B89" w:rsidRPr="00B55C2F">
        <w:t>’</w:t>
      </w:r>
      <w:r w:rsidRPr="00B55C2F">
        <w:t>UE aura un impact considérable, notamment sur les politiques visant à garantir la stabilité financière dans l</w:t>
      </w:r>
      <w:r w:rsidR="00D56B89" w:rsidRPr="00B55C2F">
        <w:t>’</w:t>
      </w:r>
      <w:r w:rsidRPr="00B55C2F">
        <w:t xml:space="preserve">UE. </w:t>
      </w:r>
    </w:p>
    <w:p w:rsidR="00BD2185" w:rsidRPr="00B55C2F" w:rsidRDefault="00BD2185"/>
    <w:p w:rsidR="00996CF4" w:rsidRPr="00B55C2F" w:rsidRDefault="00996CF4" w:rsidP="008059E7">
      <w:pPr>
        <w:pStyle w:val="Heading1"/>
        <w:keepNext/>
        <w:keepLines/>
      </w:pPr>
      <w:r w:rsidRPr="00B55C2F">
        <w:rPr>
          <w:b/>
        </w:rPr>
        <w:t>Fiscalité</w:t>
      </w:r>
    </w:p>
    <w:p w:rsidR="00996CF4" w:rsidRPr="00B55C2F" w:rsidRDefault="00996CF4" w:rsidP="008059E7">
      <w:pPr>
        <w:keepNext/>
        <w:keepLines/>
      </w:pPr>
    </w:p>
    <w:p w:rsidR="00D66081" w:rsidRPr="00B55C2F" w:rsidRDefault="005764C8" w:rsidP="00D3457D">
      <w:pPr>
        <w:pStyle w:val="ListParagraph"/>
        <w:numPr>
          <w:ilvl w:val="0"/>
          <w:numId w:val="10"/>
        </w:numPr>
        <w:tabs>
          <w:tab w:val="clear" w:pos="0"/>
        </w:tabs>
        <w:ind w:left="850"/>
      </w:pPr>
      <w:r w:rsidRPr="00B55C2F">
        <w:t>Le CESE appuie résolument la Commission européenne et l</w:t>
      </w:r>
      <w:r w:rsidR="00D56B89" w:rsidRPr="00B55C2F">
        <w:t>’</w:t>
      </w:r>
      <w:r w:rsidRPr="00B55C2F">
        <w:t xml:space="preserve">OCDE dans leurs efforts visant à promouvoir la </w:t>
      </w:r>
      <w:r w:rsidRPr="00B55C2F">
        <w:rPr>
          <w:b/>
        </w:rPr>
        <w:t>transparence fiscale</w:t>
      </w:r>
      <w:r w:rsidRPr="00B55C2F">
        <w:t xml:space="preserve"> et à lutter contre la planification fiscale agressive. Il soutient également le programme ambitieux mis en place par la Commission européenne en vue de </w:t>
      </w:r>
      <w:r w:rsidRPr="00B55C2F">
        <w:rPr>
          <w:b/>
        </w:rPr>
        <w:t>lutter contre l</w:t>
      </w:r>
      <w:r w:rsidR="00D56B89" w:rsidRPr="00B55C2F">
        <w:rPr>
          <w:b/>
        </w:rPr>
        <w:t>’</w:t>
      </w:r>
      <w:r w:rsidRPr="00B55C2F">
        <w:rPr>
          <w:b/>
        </w:rPr>
        <w:t>évasion fiscale</w:t>
      </w:r>
      <w:r w:rsidRPr="00B55C2F">
        <w:t xml:space="preserve">. </w:t>
      </w:r>
    </w:p>
    <w:p w:rsidR="005764C8" w:rsidRPr="00B55C2F" w:rsidRDefault="00D66081" w:rsidP="00D3457D">
      <w:pPr>
        <w:pStyle w:val="ListParagraph"/>
        <w:numPr>
          <w:ilvl w:val="0"/>
          <w:numId w:val="10"/>
        </w:numPr>
        <w:tabs>
          <w:tab w:val="clear" w:pos="0"/>
        </w:tabs>
        <w:ind w:left="850"/>
      </w:pPr>
      <w:r w:rsidRPr="00B55C2F">
        <w:t>Il accordera une attention particulière à la fiscalité de l</w:t>
      </w:r>
      <w:r w:rsidR="00D56B89" w:rsidRPr="00B55C2F">
        <w:t>’</w:t>
      </w:r>
      <w:r w:rsidRPr="00B55C2F">
        <w:t>économie du partage, de façon à garantir que toutes les multinationales du secteur des technologies paient leur juste part d</w:t>
      </w:r>
      <w:r w:rsidR="00D56B89" w:rsidRPr="00B55C2F">
        <w:t>’</w:t>
      </w:r>
      <w:r w:rsidRPr="00B55C2F">
        <w:t>impôts en Europe.</w:t>
      </w:r>
    </w:p>
    <w:p w:rsidR="005764C8" w:rsidRPr="00B55C2F" w:rsidRDefault="005764C8" w:rsidP="00D3457D">
      <w:pPr>
        <w:pStyle w:val="ListParagraph"/>
        <w:numPr>
          <w:ilvl w:val="0"/>
          <w:numId w:val="10"/>
        </w:numPr>
        <w:tabs>
          <w:tab w:val="clear" w:pos="0"/>
        </w:tabs>
        <w:ind w:left="850"/>
      </w:pPr>
      <w:r w:rsidRPr="00B55C2F">
        <w:t>La relance de l</w:t>
      </w:r>
      <w:r w:rsidR="00D56B89" w:rsidRPr="00B55C2F">
        <w:t>’</w:t>
      </w:r>
      <w:r w:rsidRPr="00B55C2F">
        <w:rPr>
          <w:b/>
        </w:rPr>
        <w:t>assiette commune consolidée pour l</w:t>
      </w:r>
      <w:r w:rsidR="00D56B89" w:rsidRPr="00B55C2F">
        <w:rPr>
          <w:b/>
        </w:rPr>
        <w:t>’</w:t>
      </w:r>
      <w:r w:rsidRPr="00B55C2F">
        <w:rPr>
          <w:b/>
        </w:rPr>
        <w:t>impôt sur les sociétés</w:t>
      </w:r>
      <w:r w:rsidRPr="00B55C2F">
        <w:t xml:space="preserve"> (</w:t>
      </w:r>
      <w:proofErr w:type="spellStart"/>
      <w:r w:rsidRPr="00B55C2F">
        <w:t>ACCIS</w:t>
      </w:r>
      <w:proofErr w:type="spellEnd"/>
      <w:r w:rsidRPr="00B55C2F">
        <w:t>), l</w:t>
      </w:r>
      <w:r w:rsidR="00D56B89" w:rsidRPr="00B55C2F">
        <w:t>’</w:t>
      </w:r>
      <w:r w:rsidRPr="00B55C2F">
        <w:rPr>
          <w:b/>
        </w:rPr>
        <w:t>imposition des bénéfices sur le lieu de leur réalisation</w:t>
      </w:r>
      <w:r w:rsidRPr="00B55C2F">
        <w:t>, l</w:t>
      </w:r>
      <w:r w:rsidR="00D56B89" w:rsidRPr="00B55C2F">
        <w:t>’</w:t>
      </w:r>
      <w:r w:rsidRPr="00B55C2F">
        <w:t>amélioration de l</w:t>
      </w:r>
      <w:r w:rsidR="00D56B89" w:rsidRPr="00B55C2F">
        <w:t>’</w:t>
      </w:r>
      <w:r w:rsidRPr="00B55C2F">
        <w:rPr>
          <w:b/>
        </w:rPr>
        <w:t>environnement des entreprises</w:t>
      </w:r>
      <w:r w:rsidRPr="00B55C2F">
        <w:t>, l</w:t>
      </w:r>
      <w:r w:rsidR="00D56B89" w:rsidRPr="00B55C2F">
        <w:t>’</w:t>
      </w:r>
      <w:r w:rsidRPr="00B55C2F">
        <w:t xml:space="preserve">accroissement de la transparence fiscale et </w:t>
      </w:r>
      <w:proofErr w:type="spellStart"/>
      <w:r w:rsidRPr="00B55C2F">
        <w:t>le</w:t>
      </w:r>
      <w:r w:rsidRPr="00B55C2F">
        <w:rPr>
          <w:b/>
        </w:rPr>
        <w:t>renforcement</w:t>
      </w:r>
      <w:proofErr w:type="spellEnd"/>
      <w:r w:rsidRPr="00B55C2F">
        <w:rPr>
          <w:b/>
        </w:rPr>
        <w:t xml:space="preserve"> de la coordination au sein de l</w:t>
      </w:r>
      <w:r w:rsidR="00D56B89" w:rsidRPr="00B55C2F">
        <w:rPr>
          <w:b/>
        </w:rPr>
        <w:t>’</w:t>
      </w:r>
      <w:r w:rsidRPr="00B55C2F">
        <w:rPr>
          <w:b/>
        </w:rPr>
        <w:t>UE</w:t>
      </w:r>
      <w:r w:rsidRPr="00B55C2F">
        <w:t xml:space="preserve">, tels sont les grands thèmes auxquels la section ECO donnera la priorité au travers de ses activités sur la fiscalité, en tenant compte également des difficultés supplémentaires engendrées par le </w:t>
      </w:r>
      <w:proofErr w:type="spellStart"/>
      <w:r w:rsidRPr="00B55C2F">
        <w:t>Brexit</w:t>
      </w:r>
      <w:proofErr w:type="spellEnd"/>
      <w:r w:rsidRPr="00B55C2F">
        <w:t>.</w:t>
      </w:r>
    </w:p>
    <w:p w:rsidR="005764C8" w:rsidRPr="00B55C2F" w:rsidRDefault="00CE4A51" w:rsidP="00D3457D">
      <w:pPr>
        <w:pStyle w:val="ListParagraph"/>
        <w:numPr>
          <w:ilvl w:val="0"/>
          <w:numId w:val="10"/>
        </w:numPr>
        <w:tabs>
          <w:tab w:val="clear" w:pos="0"/>
        </w:tabs>
        <w:ind w:left="850"/>
      </w:pPr>
      <w:r w:rsidRPr="00B55C2F">
        <w:t>Le CESE poursuivra également ses travaux sur la structure des taux de TVA au sein de l</w:t>
      </w:r>
      <w:r w:rsidR="00D56B89" w:rsidRPr="00B55C2F">
        <w:t>’</w:t>
      </w:r>
      <w:r w:rsidRPr="00B55C2F">
        <w:t xml:space="preserve">UE en vue de progresser vers un régime de TVA définitif. </w:t>
      </w:r>
    </w:p>
    <w:p w:rsidR="00F62E0F" w:rsidRPr="00B55C2F" w:rsidRDefault="00F62E0F"/>
    <w:p w:rsidR="00BF3A32" w:rsidRPr="00B55C2F" w:rsidRDefault="00BF3A32" w:rsidP="008059E7">
      <w:pPr>
        <w:pStyle w:val="Heading1"/>
        <w:keepNext/>
        <w:keepLines/>
      </w:pPr>
      <w:r w:rsidRPr="00B55C2F">
        <w:rPr>
          <w:b/>
        </w:rPr>
        <w:t>Budget de l</w:t>
      </w:r>
      <w:r w:rsidR="00D56B89" w:rsidRPr="00B55C2F">
        <w:rPr>
          <w:b/>
        </w:rPr>
        <w:t>’</w:t>
      </w:r>
      <w:r w:rsidRPr="00B55C2F">
        <w:rPr>
          <w:b/>
        </w:rPr>
        <w:t>UE et ressources propres</w:t>
      </w:r>
    </w:p>
    <w:p w:rsidR="001E5427" w:rsidRPr="00B55C2F" w:rsidRDefault="001E5427" w:rsidP="008059E7">
      <w:pPr>
        <w:keepNext/>
        <w:keepLines/>
      </w:pPr>
    </w:p>
    <w:p w:rsidR="001D78CE" w:rsidRPr="00B55C2F" w:rsidRDefault="001D78CE" w:rsidP="00D3457D">
      <w:pPr>
        <w:pStyle w:val="ListParagraph"/>
        <w:numPr>
          <w:ilvl w:val="0"/>
          <w:numId w:val="11"/>
        </w:numPr>
        <w:tabs>
          <w:tab w:val="clear" w:pos="0"/>
        </w:tabs>
        <w:ind w:left="850"/>
      </w:pPr>
      <w:r w:rsidRPr="00B55C2F">
        <w:t>L</w:t>
      </w:r>
      <w:r w:rsidR="00D56B89" w:rsidRPr="00B55C2F">
        <w:t>’</w:t>
      </w:r>
      <w:r w:rsidRPr="00B55C2F">
        <w:t>Union européenne doit se voir octroyer les moyens de poursuivre ses priorités stratégiques sans alourdir la pression fiscale sur les citoyens et les entreprises.</w:t>
      </w:r>
    </w:p>
    <w:p w:rsidR="001D78CE" w:rsidRPr="00B55C2F" w:rsidRDefault="001D78CE" w:rsidP="00D3457D">
      <w:pPr>
        <w:pStyle w:val="ListParagraph"/>
        <w:numPr>
          <w:ilvl w:val="0"/>
          <w:numId w:val="11"/>
        </w:numPr>
        <w:tabs>
          <w:tab w:val="clear" w:pos="0"/>
        </w:tabs>
        <w:ind w:left="850"/>
      </w:pPr>
      <w:r w:rsidRPr="00B55C2F">
        <w:t>Le budget de l</w:t>
      </w:r>
      <w:r w:rsidR="00D56B89" w:rsidRPr="00B55C2F">
        <w:t>’</w:t>
      </w:r>
      <w:r w:rsidRPr="00B55C2F">
        <w:t>Union européenne doit être de plus en plus axé sur les résultats. Il devrait avoir un effet de levier et permettre, entre autres, une complémentarité et des économies d</w:t>
      </w:r>
      <w:r w:rsidR="00D56B89" w:rsidRPr="00B55C2F">
        <w:t>’</w:t>
      </w:r>
      <w:r w:rsidRPr="00B55C2F">
        <w:t>échelle.</w:t>
      </w:r>
    </w:p>
    <w:p w:rsidR="001D78CE" w:rsidRPr="00B55C2F" w:rsidRDefault="001E5427" w:rsidP="00D3457D">
      <w:pPr>
        <w:pStyle w:val="ListParagraph"/>
        <w:numPr>
          <w:ilvl w:val="0"/>
          <w:numId w:val="11"/>
        </w:numPr>
        <w:tabs>
          <w:tab w:val="clear" w:pos="0"/>
        </w:tabs>
        <w:ind w:left="850"/>
      </w:pPr>
      <w:r w:rsidRPr="00B55C2F">
        <w:t xml:space="preserve">Le CESE considère que le prochain </w:t>
      </w:r>
      <w:r w:rsidRPr="00B55C2F">
        <w:rPr>
          <w:b/>
        </w:rPr>
        <w:t>cadre financier pluriannuel</w:t>
      </w:r>
      <w:r w:rsidRPr="00B55C2F">
        <w:t xml:space="preserve">, qui couvrira la période </w:t>
      </w:r>
      <w:r w:rsidRPr="00B55C2F">
        <w:rPr>
          <w:b/>
        </w:rPr>
        <w:t>après 2021</w:t>
      </w:r>
      <w:r w:rsidRPr="00B55C2F">
        <w:t>, devrait servir à orienter davantage le budget de l</w:t>
      </w:r>
      <w:r w:rsidR="00D56B89" w:rsidRPr="00B55C2F">
        <w:t>’</w:t>
      </w:r>
      <w:r w:rsidRPr="00B55C2F">
        <w:t>UE vers l</w:t>
      </w:r>
      <w:r w:rsidR="00D56B89" w:rsidRPr="00B55C2F">
        <w:t>’</w:t>
      </w:r>
      <w:r w:rsidRPr="00B55C2F">
        <w:t xml:space="preserve">emploi, la croissance et la compétitivité. </w:t>
      </w:r>
    </w:p>
    <w:p w:rsidR="00507564" w:rsidRPr="00B55C2F" w:rsidRDefault="006138B8" w:rsidP="00D3457D">
      <w:pPr>
        <w:pStyle w:val="ListParagraph"/>
        <w:numPr>
          <w:ilvl w:val="0"/>
          <w:numId w:val="11"/>
        </w:numPr>
        <w:tabs>
          <w:tab w:val="clear" w:pos="0"/>
        </w:tabs>
        <w:ind w:left="850"/>
      </w:pPr>
      <w:r w:rsidRPr="00B55C2F">
        <w:t>Des ressources devraient être mobilisées pour les programmes susceptibles, d</w:t>
      </w:r>
      <w:r w:rsidR="00D56B89" w:rsidRPr="00B55C2F">
        <w:t>’</w:t>
      </w:r>
      <w:r w:rsidRPr="00B55C2F">
        <w:t>une part, de relancer le développement économique, social et environnemental, l</w:t>
      </w:r>
      <w:r w:rsidR="00D56B89" w:rsidRPr="00B55C2F">
        <w:t>’</w:t>
      </w:r>
      <w:r w:rsidRPr="00B55C2F">
        <w:t>emploi, l</w:t>
      </w:r>
      <w:r w:rsidR="00D56B89" w:rsidRPr="00B55C2F">
        <w:t>’</w:t>
      </w:r>
      <w:r w:rsidRPr="00B55C2F">
        <w:t>innovation et la compétitivité et, d</w:t>
      </w:r>
      <w:r w:rsidR="00D56B89" w:rsidRPr="00B55C2F">
        <w:t>’</w:t>
      </w:r>
      <w:r w:rsidRPr="00B55C2F">
        <w:t>autre part, de répondre à la crise des migrants et des réfugiés, aux questions de sécurité intérieure, aux situations d</w:t>
      </w:r>
      <w:r w:rsidR="00D56B89" w:rsidRPr="00B55C2F">
        <w:t>’</w:t>
      </w:r>
      <w:r w:rsidRPr="00B55C2F">
        <w:t>urgence extérieures ainsi qu</w:t>
      </w:r>
      <w:r w:rsidR="00D56B89" w:rsidRPr="00B55C2F">
        <w:t>’</w:t>
      </w:r>
      <w:r w:rsidRPr="00B55C2F">
        <w:t xml:space="preserve">à la crise qui touche le secteur agricole. </w:t>
      </w:r>
    </w:p>
    <w:p w:rsidR="004C5BAD" w:rsidRPr="00B55C2F" w:rsidRDefault="005C68A7" w:rsidP="00D3457D">
      <w:pPr>
        <w:pStyle w:val="ListParagraph"/>
        <w:numPr>
          <w:ilvl w:val="0"/>
          <w:numId w:val="11"/>
        </w:numPr>
        <w:tabs>
          <w:tab w:val="clear" w:pos="0"/>
        </w:tabs>
        <w:ind w:left="850"/>
      </w:pPr>
      <w:r w:rsidRPr="00B55C2F">
        <w:lastRenderedPageBreak/>
        <w:t xml:space="preserve">La </w:t>
      </w:r>
      <w:r w:rsidRPr="00B55C2F">
        <w:rPr>
          <w:b/>
        </w:rPr>
        <w:t>sortie du Royaume-Uni</w:t>
      </w:r>
      <w:r w:rsidRPr="00B55C2F">
        <w:t xml:space="preserve"> sera un facteur important dans la conception du budget de l</w:t>
      </w:r>
      <w:r w:rsidR="00D56B89" w:rsidRPr="00B55C2F">
        <w:t>’</w:t>
      </w:r>
      <w:r w:rsidRPr="00B55C2F">
        <w:t>UE au-delà de 2025, en termes de solde net et dans la manière dont la politique de l</w:t>
      </w:r>
      <w:r w:rsidR="00D56B89" w:rsidRPr="00B55C2F">
        <w:t>’</w:t>
      </w:r>
      <w:r w:rsidRPr="00B55C2F">
        <w:t xml:space="preserve">UE et ses priorités pourront se développer. </w:t>
      </w:r>
    </w:p>
    <w:p w:rsidR="00953F01" w:rsidRDefault="00953F01">
      <w:pPr>
        <w:spacing w:after="200" w:line="276" w:lineRule="auto"/>
        <w:jc w:val="left"/>
      </w:pPr>
      <w:r>
        <w:br w:type="page"/>
      </w:r>
    </w:p>
    <w:p w:rsidR="00BF3A32" w:rsidRPr="00B55C2F" w:rsidRDefault="00BF3A32">
      <w:bookmarkStart w:id="0" w:name="_GoBack"/>
      <w:bookmarkEnd w:id="0"/>
    </w:p>
    <w:p w:rsidR="00996CF4" w:rsidRPr="00B55C2F" w:rsidRDefault="00996CF4" w:rsidP="00FA51BF">
      <w:pPr>
        <w:pStyle w:val="Heading1"/>
        <w:keepNext/>
        <w:keepLines/>
      </w:pPr>
      <w:r w:rsidRPr="00B55C2F">
        <w:rPr>
          <w:b/>
        </w:rPr>
        <w:t>Politique de cohésion et politique urbaine</w:t>
      </w:r>
    </w:p>
    <w:p w:rsidR="00996CF4" w:rsidRPr="00B55C2F" w:rsidRDefault="00996CF4" w:rsidP="00FA51BF">
      <w:pPr>
        <w:keepNext/>
        <w:keepLines/>
      </w:pPr>
    </w:p>
    <w:p w:rsidR="00996CF4" w:rsidRPr="00B55C2F" w:rsidRDefault="003531D4" w:rsidP="00D3457D">
      <w:pPr>
        <w:pStyle w:val="ListParagraph"/>
        <w:numPr>
          <w:ilvl w:val="0"/>
          <w:numId w:val="12"/>
        </w:numPr>
        <w:tabs>
          <w:tab w:val="clear" w:pos="0"/>
        </w:tabs>
        <w:ind w:left="850"/>
      </w:pPr>
      <w:r w:rsidRPr="00B55C2F">
        <w:t>Le CESE est fermement convaincu qu</w:t>
      </w:r>
      <w:r w:rsidR="00D56B89" w:rsidRPr="00B55C2F">
        <w:t>’</w:t>
      </w:r>
      <w:r w:rsidRPr="00B55C2F">
        <w:t xml:space="preserve">un </w:t>
      </w:r>
      <w:r w:rsidRPr="00B55C2F">
        <w:rPr>
          <w:b/>
        </w:rPr>
        <w:t>partenariat authentique et profond</w:t>
      </w:r>
      <w:r w:rsidRPr="00B55C2F">
        <w:t xml:space="preserve"> améliore considérablement l</w:t>
      </w:r>
      <w:r w:rsidR="00D56B89" w:rsidRPr="00B55C2F">
        <w:t>’</w:t>
      </w:r>
      <w:r w:rsidRPr="00B55C2F">
        <w:t xml:space="preserve">efficacité et le succès global de la </w:t>
      </w:r>
      <w:r w:rsidRPr="00B55C2F">
        <w:rPr>
          <w:b/>
        </w:rPr>
        <w:t>politique de cohésion de l</w:t>
      </w:r>
      <w:r w:rsidR="00D56B89" w:rsidRPr="00B55C2F">
        <w:rPr>
          <w:b/>
        </w:rPr>
        <w:t>’</w:t>
      </w:r>
      <w:r w:rsidRPr="00B55C2F">
        <w:rPr>
          <w:b/>
        </w:rPr>
        <w:t>UE</w:t>
      </w:r>
      <w:r w:rsidRPr="00B55C2F">
        <w:t>.</w:t>
      </w:r>
    </w:p>
    <w:p w:rsidR="009643DA" w:rsidRPr="00B55C2F" w:rsidRDefault="00F61185" w:rsidP="00D3457D">
      <w:pPr>
        <w:pStyle w:val="ListParagraph"/>
        <w:numPr>
          <w:ilvl w:val="0"/>
          <w:numId w:val="12"/>
        </w:numPr>
        <w:tabs>
          <w:tab w:val="clear" w:pos="0"/>
        </w:tabs>
        <w:ind w:left="850"/>
      </w:pPr>
      <w:r w:rsidRPr="00B55C2F">
        <w:t>Il est essentiel de disposer d</w:t>
      </w:r>
      <w:r w:rsidR="00D56B89" w:rsidRPr="00B55C2F">
        <w:t>’</w:t>
      </w:r>
      <w:r w:rsidRPr="00B55C2F">
        <w:t xml:space="preserve">une </w:t>
      </w:r>
      <w:r w:rsidRPr="00B55C2F">
        <w:rPr>
          <w:b/>
        </w:rPr>
        <w:t>stratégie et d</w:t>
      </w:r>
      <w:r w:rsidR="00D56B89" w:rsidRPr="00B55C2F">
        <w:rPr>
          <w:b/>
        </w:rPr>
        <w:t>’</w:t>
      </w:r>
      <w:r w:rsidRPr="00B55C2F">
        <w:rPr>
          <w:b/>
        </w:rPr>
        <w:t>objectifs simples et réalistes</w:t>
      </w:r>
      <w:r w:rsidRPr="00B55C2F">
        <w:t xml:space="preserve"> ainsi que d</w:t>
      </w:r>
      <w:r w:rsidR="00D56B89" w:rsidRPr="00B55C2F">
        <w:t>’</w:t>
      </w:r>
      <w:r w:rsidRPr="00B55C2F">
        <w:t>un projet unique pour l</w:t>
      </w:r>
      <w:r w:rsidR="00D56B89" w:rsidRPr="00B55C2F">
        <w:t>’</w:t>
      </w:r>
      <w:r w:rsidRPr="00B55C2F">
        <w:t xml:space="preserve">Europe à long terme (stratégie UE 2030-2050); les </w:t>
      </w:r>
      <w:r w:rsidRPr="00B55C2F">
        <w:rPr>
          <w:b/>
        </w:rPr>
        <w:t>instruments</w:t>
      </w:r>
      <w:r w:rsidRPr="00B55C2F">
        <w:t xml:space="preserve"> juridiques et </w:t>
      </w:r>
      <w:r w:rsidRPr="00B55C2F">
        <w:rPr>
          <w:b/>
        </w:rPr>
        <w:t>financiers</w:t>
      </w:r>
      <w:r w:rsidRPr="00B55C2F">
        <w:t xml:space="preserve"> (en particulier les Fonds structurels et d</w:t>
      </w:r>
      <w:r w:rsidR="00D56B89" w:rsidRPr="00B55C2F">
        <w:t>’</w:t>
      </w:r>
      <w:r w:rsidRPr="00B55C2F">
        <w:t xml:space="preserve">investissement européens et le Fonds européen pour les investissements stratégiques) doivent être consolidés de manière à garantir une </w:t>
      </w:r>
      <w:r w:rsidRPr="00B55C2F">
        <w:rPr>
          <w:b/>
        </w:rPr>
        <w:t>gouvernance centrale forte et axée sur le développement</w:t>
      </w:r>
      <w:r w:rsidRPr="00B55C2F">
        <w:t>.</w:t>
      </w:r>
    </w:p>
    <w:p w:rsidR="00996CF4" w:rsidRPr="00B55C2F" w:rsidRDefault="00427A19" w:rsidP="00D3457D">
      <w:pPr>
        <w:pStyle w:val="ListParagraph"/>
        <w:numPr>
          <w:ilvl w:val="0"/>
          <w:numId w:val="12"/>
        </w:numPr>
        <w:tabs>
          <w:tab w:val="clear" w:pos="0"/>
        </w:tabs>
        <w:ind w:left="850"/>
      </w:pPr>
      <w:r w:rsidRPr="00B55C2F">
        <w:t xml:space="preserve">Le CESE soutient la mise en œuvre du </w:t>
      </w:r>
      <w:r w:rsidRPr="00B55C2F">
        <w:rPr>
          <w:b/>
        </w:rPr>
        <w:t>programme urbain</w:t>
      </w:r>
      <w:r w:rsidRPr="00B55C2F">
        <w:t xml:space="preserve"> de l</w:t>
      </w:r>
      <w:r w:rsidR="00D56B89" w:rsidRPr="00B55C2F">
        <w:t>’</w:t>
      </w:r>
      <w:r w:rsidRPr="00B55C2F">
        <w:t xml:space="preserve">UE et poursuivra ses efforts pour que soit tiré parti du potentiel des villes européennes, actuellement sous-utilisé. </w:t>
      </w:r>
    </w:p>
    <w:p w:rsidR="00996CF4" w:rsidRPr="00B55C2F" w:rsidRDefault="00427A19" w:rsidP="00D3457D">
      <w:pPr>
        <w:pStyle w:val="ListParagraph"/>
        <w:numPr>
          <w:ilvl w:val="0"/>
          <w:numId w:val="12"/>
        </w:numPr>
        <w:tabs>
          <w:tab w:val="clear" w:pos="0"/>
        </w:tabs>
        <w:ind w:left="850"/>
      </w:pPr>
      <w:r w:rsidRPr="00B55C2F">
        <w:t>Le CESE continuera de souligner l</w:t>
      </w:r>
      <w:r w:rsidR="00D56B89" w:rsidRPr="00B55C2F">
        <w:t>’</w:t>
      </w:r>
      <w:r w:rsidRPr="00B55C2F">
        <w:rPr>
          <w:b/>
        </w:rPr>
        <w:t xml:space="preserve">importance des stratégies </w:t>
      </w:r>
      <w:proofErr w:type="spellStart"/>
      <w:r w:rsidRPr="00B55C2F">
        <w:rPr>
          <w:b/>
        </w:rPr>
        <w:t>macrorégionales</w:t>
      </w:r>
      <w:proofErr w:type="spellEnd"/>
      <w:r w:rsidRPr="00B55C2F">
        <w:t xml:space="preserve"> qui ont un rôle de plus en plus important à jouer dans l</w:t>
      </w:r>
      <w:r w:rsidR="00D56B89" w:rsidRPr="00B55C2F">
        <w:t>’</w:t>
      </w:r>
      <w:r w:rsidRPr="00B55C2F">
        <w:t>avenir de l</w:t>
      </w:r>
      <w:r w:rsidR="00D56B89" w:rsidRPr="00B55C2F">
        <w:t>’</w:t>
      </w:r>
      <w:r w:rsidRPr="00B55C2F">
        <w:t>UE.</w:t>
      </w:r>
    </w:p>
    <w:p w:rsidR="009A7436" w:rsidRPr="00B55C2F" w:rsidRDefault="009A7436" w:rsidP="00996CF4"/>
    <w:p w:rsidR="00996CF4" w:rsidRPr="00B55C2F" w:rsidRDefault="009A7436" w:rsidP="00442EED">
      <w:pPr>
        <w:jc w:val="center"/>
      </w:pPr>
      <w:r w:rsidRPr="00B55C2F">
        <w:t>______________</w:t>
      </w:r>
    </w:p>
    <w:sectPr w:rsidR="00996CF4" w:rsidRPr="00B55C2F" w:rsidSect="00953F0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993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0AF" w:rsidRDefault="003F40AF" w:rsidP="003A4A36">
      <w:pPr>
        <w:spacing w:line="240" w:lineRule="auto"/>
      </w:pPr>
      <w:r>
        <w:separator/>
      </w:r>
    </w:p>
  </w:endnote>
  <w:endnote w:type="continuationSeparator" w:id="0">
    <w:p w:rsidR="003F40AF" w:rsidRDefault="003F40AF" w:rsidP="003A4A36">
      <w:pPr>
        <w:spacing w:line="240" w:lineRule="auto"/>
      </w:pPr>
      <w:r>
        <w:continuationSeparator/>
      </w:r>
    </w:p>
  </w:endnote>
  <w:endnote w:type="continuationNotice" w:id="1">
    <w:p w:rsidR="003F40AF" w:rsidRDefault="003F40A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67D" w:rsidRPr="00CA367D" w:rsidRDefault="00CA367D" w:rsidP="00CA36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6E1" w:rsidRPr="00CA367D" w:rsidRDefault="00CA367D" w:rsidP="00CA367D">
    <w:pPr>
      <w:pStyle w:val="Footer"/>
    </w:pPr>
    <w:r>
      <w:t xml:space="preserve">EESC-2015-06052-01-00-TCD-TRA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953F01">
      <w:rPr>
        <w:noProof/>
      </w:rPr>
      <w:t>3</w:t>
    </w:r>
    <w:r>
      <w:fldChar w:fldCharType="end"/>
    </w:r>
    <w:r>
      <w:t>/</w:t>
    </w:r>
    <w:r>
      <w:fldChar w:fldCharType="begin"/>
    </w:r>
    <w:r>
      <w:instrText xml:space="preserve"> = </w:instrText>
    </w:r>
    <w:r w:rsidR="00953F01">
      <w:fldChar w:fldCharType="begin"/>
    </w:r>
    <w:r w:rsidR="00953F01">
      <w:instrText xml:space="preserve"> NUMPAGES </w:instrText>
    </w:r>
    <w:r w:rsidR="00953F01">
      <w:fldChar w:fldCharType="separate"/>
    </w:r>
    <w:r w:rsidR="00953F01">
      <w:rPr>
        <w:noProof/>
      </w:rPr>
      <w:instrText>3</w:instrText>
    </w:r>
    <w:r w:rsidR="00953F01">
      <w:rPr>
        <w:noProof/>
      </w:rPr>
      <w:fldChar w:fldCharType="end"/>
    </w:r>
    <w:r>
      <w:instrText xml:space="preserve"> -0 </w:instrText>
    </w:r>
    <w:r>
      <w:fldChar w:fldCharType="separate"/>
    </w:r>
    <w:r w:rsidR="00953F01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67D" w:rsidRPr="00CA367D" w:rsidRDefault="00CA367D" w:rsidP="00CA3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0AF" w:rsidRDefault="003F40AF" w:rsidP="003A4A36">
      <w:pPr>
        <w:spacing w:line="240" w:lineRule="auto"/>
      </w:pPr>
      <w:r>
        <w:separator/>
      </w:r>
    </w:p>
  </w:footnote>
  <w:footnote w:type="continuationSeparator" w:id="0">
    <w:p w:rsidR="003F40AF" w:rsidRDefault="003F40AF" w:rsidP="003A4A36">
      <w:pPr>
        <w:spacing w:line="240" w:lineRule="auto"/>
      </w:pPr>
      <w:r>
        <w:continuationSeparator/>
      </w:r>
    </w:p>
  </w:footnote>
  <w:footnote w:type="continuationNotice" w:id="1">
    <w:p w:rsidR="003F40AF" w:rsidRDefault="003F40A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67D" w:rsidRPr="00CA367D" w:rsidRDefault="00CA367D" w:rsidP="00CA36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67D" w:rsidRPr="00CA367D" w:rsidRDefault="00CA367D" w:rsidP="00CA36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67D" w:rsidRPr="00CA367D" w:rsidRDefault="00CA367D" w:rsidP="00CA36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1096392"/>
    <w:multiLevelType w:val="hybridMultilevel"/>
    <w:tmpl w:val="4588FF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9189F"/>
    <w:multiLevelType w:val="hybridMultilevel"/>
    <w:tmpl w:val="A8F2E550"/>
    <w:lvl w:ilvl="0" w:tplc="9034A7C0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8114E"/>
    <w:multiLevelType w:val="hybridMultilevel"/>
    <w:tmpl w:val="1E169CB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E5947"/>
    <w:multiLevelType w:val="hybridMultilevel"/>
    <w:tmpl w:val="F51CE44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B5A63"/>
    <w:multiLevelType w:val="hybridMultilevel"/>
    <w:tmpl w:val="A35A5496"/>
    <w:lvl w:ilvl="0" w:tplc="31B8CD10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24566"/>
    <w:multiLevelType w:val="hybridMultilevel"/>
    <w:tmpl w:val="34DEB6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DE77A1"/>
    <w:multiLevelType w:val="hybridMultilevel"/>
    <w:tmpl w:val="D0B07DB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2F4841"/>
    <w:multiLevelType w:val="hybridMultilevel"/>
    <w:tmpl w:val="3B0C9CC8"/>
    <w:lvl w:ilvl="0" w:tplc="EEB6699A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514907"/>
    <w:multiLevelType w:val="hybridMultilevel"/>
    <w:tmpl w:val="A9CC7CCC"/>
    <w:lvl w:ilvl="0" w:tplc="F816191E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125218"/>
    <w:multiLevelType w:val="hybridMultilevel"/>
    <w:tmpl w:val="3F20346C"/>
    <w:lvl w:ilvl="0" w:tplc="9880DFCA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B76719"/>
    <w:multiLevelType w:val="hybridMultilevel"/>
    <w:tmpl w:val="194CD6D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B7"/>
    <w:rsid w:val="000011B3"/>
    <w:rsid w:val="00002F5D"/>
    <w:rsid w:val="00023422"/>
    <w:rsid w:val="00045531"/>
    <w:rsid w:val="00053993"/>
    <w:rsid w:val="000865DF"/>
    <w:rsid w:val="000906E1"/>
    <w:rsid w:val="000969C6"/>
    <w:rsid w:val="000A14DC"/>
    <w:rsid w:val="000B39B7"/>
    <w:rsid w:val="000C246E"/>
    <w:rsid w:val="000C4570"/>
    <w:rsid w:val="000D6692"/>
    <w:rsid w:val="000E6728"/>
    <w:rsid w:val="000F515D"/>
    <w:rsid w:val="00113D34"/>
    <w:rsid w:val="00131EA6"/>
    <w:rsid w:val="00162913"/>
    <w:rsid w:val="00165FAA"/>
    <w:rsid w:val="00167E8B"/>
    <w:rsid w:val="0017198F"/>
    <w:rsid w:val="00172608"/>
    <w:rsid w:val="0018099C"/>
    <w:rsid w:val="001B5EE1"/>
    <w:rsid w:val="001D3438"/>
    <w:rsid w:val="001D5BE8"/>
    <w:rsid w:val="001D78CE"/>
    <w:rsid w:val="001E5427"/>
    <w:rsid w:val="001F0DF1"/>
    <w:rsid w:val="002101C6"/>
    <w:rsid w:val="00210C3D"/>
    <w:rsid w:val="00214B05"/>
    <w:rsid w:val="0023280A"/>
    <w:rsid w:val="00232E5B"/>
    <w:rsid w:val="0024459B"/>
    <w:rsid w:val="0026371B"/>
    <w:rsid w:val="00265EA1"/>
    <w:rsid w:val="002A1C19"/>
    <w:rsid w:val="002A308D"/>
    <w:rsid w:val="002B04CE"/>
    <w:rsid w:val="002C69DB"/>
    <w:rsid w:val="002D29C0"/>
    <w:rsid w:val="002E451A"/>
    <w:rsid w:val="002E565F"/>
    <w:rsid w:val="00320896"/>
    <w:rsid w:val="00324633"/>
    <w:rsid w:val="00324A65"/>
    <w:rsid w:val="003275C4"/>
    <w:rsid w:val="00342BC4"/>
    <w:rsid w:val="003504DB"/>
    <w:rsid w:val="003531D4"/>
    <w:rsid w:val="00356CC6"/>
    <w:rsid w:val="003661E5"/>
    <w:rsid w:val="003826FD"/>
    <w:rsid w:val="00397052"/>
    <w:rsid w:val="003A4A36"/>
    <w:rsid w:val="003C4759"/>
    <w:rsid w:val="003F40AF"/>
    <w:rsid w:val="00402A42"/>
    <w:rsid w:val="004068D4"/>
    <w:rsid w:val="004257C3"/>
    <w:rsid w:val="00427A19"/>
    <w:rsid w:val="00442EED"/>
    <w:rsid w:val="00443E9E"/>
    <w:rsid w:val="00450A72"/>
    <w:rsid w:val="00484F16"/>
    <w:rsid w:val="00486EF2"/>
    <w:rsid w:val="00496201"/>
    <w:rsid w:val="004B69D6"/>
    <w:rsid w:val="004C19FE"/>
    <w:rsid w:val="004C5BAD"/>
    <w:rsid w:val="004D3BA8"/>
    <w:rsid w:val="00500266"/>
    <w:rsid w:val="00507564"/>
    <w:rsid w:val="0051442E"/>
    <w:rsid w:val="00517708"/>
    <w:rsid w:val="00520758"/>
    <w:rsid w:val="0057085A"/>
    <w:rsid w:val="00571F96"/>
    <w:rsid w:val="005764C8"/>
    <w:rsid w:val="00580283"/>
    <w:rsid w:val="005A05D7"/>
    <w:rsid w:val="005C68A7"/>
    <w:rsid w:val="005D15F1"/>
    <w:rsid w:val="005E6B3D"/>
    <w:rsid w:val="005F0781"/>
    <w:rsid w:val="00601E79"/>
    <w:rsid w:val="006138B8"/>
    <w:rsid w:val="0061702D"/>
    <w:rsid w:val="00622D51"/>
    <w:rsid w:val="00626D66"/>
    <w:rsid w:val="00631D15"/>
    <w:rsid w:val="0063481B"/>
    <w:rsid w:val="00647E57"/>
    <w:rsid w:val="00652BC4"/>
    <w:rsid w:val="00660AE7"/>
    <w:rsid w:val="00675EF4"/>
    <w:rsid w:val="006A3D1C"/>
    <w:rsid w:val="006A6281"/>
    <w:rsid w:val="006B79EB"/>
    <w:rsid w:val="006C2A78"/>
    <w:rsid w:val="006C47CA"/>
    <w:rsid w:val="006D17EA"/>
    <w:rsid w:val="006E2C08"/>
    <w:rsid w:val="006F114E"/>
    <w:rsid w:val="006F63E8"/>
    <w:rsid w:val="007003FD"/>
    <w:rsid w:val="0074389F"/>
    <w:rsid w:val="0074477B"/>
    <w:rsid w:val="007519E9"/>
    <w:rsid w:val="00772922"/>
    <w:rsid w:val="007B1402"/>
    <w:rsid w:val="007B5D01"/>
    <w:rsid w:val="007D00FB"/>
    <w:rsid w:val="007D4E5D"/>
    <w:rsid w:val="007D71A2"/>
    <w:rsid w:val="007F10C3"/>
    <w:rsid w:val="00805970"/>
    <w:rsid w:val="008059E7"/>
    <w:rsid w:val="0081411E"/>
    <w:rsid w:val="00834DF6"/>
    <w:rsid w:val="00862A3E"/>
    <w:rsid w:val="008A152E"/>
    <w:rsid w:val="008B0A0A"/>
    <w:rsid w:val="008C0DB6"/>
    <w:rsid w:val="008C49E4"/>
    <w:rsid w:val="008C5853"/>
    <w:rsid w:val="008E2B8C"/>
    <w:rsid w:val="008E361D"/>
    <w:rsid w:val="008F49B5"/>
    <w:rsid w:val="009416D5"/>
    <w:rsid w:val="00942719"/>
    <w:rsid w:val="00953F01"/>
    <w:rsid w:val="00962C7E"/>
    <w:rsid w:val="009643DA"/>
    <w:rsid w:val="009746DF"/>
    <w:rsid w:val="00976446"/>
    <w:rsid w:val="00993521"/>
    <w:rsid w:val="00996CF4"/>
    <w:rsid w:val="009A7436"/>
    <w:rsid w:val="009D2FA5"/>
    <w:rsid w:val="009E2552"/>
    <w:rsid w:val="009E5B57"/>
    <w:rsid w:val="009E7BB1"/>
    <w:rsid w:val="009F31BD"/>
    <w:rsid w:val="009F39CD"/>
    <w:rsid w:val="00A00B83"/>
    <w:rsid w:val="00A0520D"/>
    <w:rsid w:val="00A13FC3"/>
    <w:rsid w:val="00A217AE"/>
    <w:rsid w:val="00A25B9B"/>
    <w:rsid w:val="00A27E65"/>
    <w:rsid w:val="00A30499"/>
    <w:rsid w:val="00A310FD"/>
    <w:rsid w:val="00A311DF"/>
    <w:rsid w:val="00A47289"/>
    <w:rsid w:val="00A70DFB"/>
    <w:rsid w:val="00A735CC"/>
    <w:rsid w:val="00A750F6"/>
    <w:rsid w:val="00AB056F"/>
    <w:rsid w:val="00AB4624"/>
    <w:rsid w:val="00AD47A6"/>
    <w:rsid w:val="00AD5CE6"/>
    <w:rsid w:val="00B155B0"/>
    <w:rsid w:val="00B224D1"/>
    <w:rsid w:val="00B26E48"/>
    <w:rsid w:val="00B31C61"/>
    <w:rsid w:val="00B52D92"/>
    <w:rsid w:val="00B55C2F"/>
    <w:rsid w:val="00B651C7"/>
    <w:rsid w:val="00B6612F"/>
    <w:rsid w:val="00B67833"/>
    <w:rsid w:val="00B758DB"/>
    <w:rsid w:val="00B9724A"/>
    <w:rsid w:val="00BA19B7"/>
    <w:rsid w:val="00BC4664"/>
    <w:rsid w:val="00BD2185"/>
    <w:rsid w:val="00BF057C"/>
    <w:rsid w:val="00BF3A32"/>
    <w:rsid w:val="00C0518F"/>
    <w:rsid w:val="00C05635"/>
    <w:rsid w:val="00C07AE9"/>
    <w:rsid w:val="00C07D7D"/>
    <w:rsid w:val="00C14C3B"/>
    <w:rsid w:val="00C71259"/>
    <w:rsid w:val="00C74317"/>
    <w:rsid w:val="00C74434"/>
    <w:rsid w:val="00C751AD"/>
    <w:rsid w:val="00C752FB"/>
    <w:rsid w:val="00CA367D"/>
    <w:rsid w:val="00CC22EE"/>
    <w:rsid w:val="00CC3DE7"/>
    <w:rsid w:val="00CD1D01"/>
    <w:rsid w:val="00CD79A5"/>
    <w:rsid w:val="00CE4A51"/>
    <w:rsid w:val="00D02687"/>
    <w:rsid w:val="00D156A7"/>
    <w:rsid w:val="00D228F9"/>
    <w:rsid w:val="00D3457D"/>
    <w:rsid w:val="00D433D1"/>
    <w:rsid w:val="00D56B89"/>
    <w:rsid w:val="00D57D47"/>
    <w:rsid w:val="00D652C2"/>
    <w:rsid w:val="00D66081"/>
    <w:rsid w:val="00D6725D"/>
    <w:rsid w:val="00D808F9"/>
    <w:rsid w:val="00D80FF0"/>
    <w:rsid w:val="00DB6CBA"/>
    <w:rsid w:val="00DC0FCD"/>
    <w:rsid w:val="00DD5E8F"/>
    <w:rsid w:val="00DF2462"/>
    <w:rsid w:val="00DF3F2C"/>
    <w:rsid w:val="00E3772B"/>
    <w:rsid w:val="00E4019D"/>
    <w:rsid w:val="00E7495F"/>
    <w:rsid w:val="00E87A25"/>
    <w:rsid w:val="00E90E6A"/>
    <w:rsid w:val="00E92589"/>
    <w:rsid w:val="00E930B8"/>
    <w:rsid w:val="00E97641"/>
    <w:rsid w:val="00EA65D0"/>
    <w:rsid w:val="00ED7AC7"/>
    <w:rsid w:val="00EE6DDC"/>
    <w:rsid w:val="00EF1D69"/>
    <w:rsid w:val="00EF2BB7"/>
    <w:rsid w:val="00F10377"/>
    <w:rsid w:val="00F2465C"/>
    <w:rsid w:val="00F61185"/>
    <w:rsid w:val="00F62E0F"/>
    <w:rsid w:val="00FA51BF"/>
    <w:rsid w:val="00FB37D8"/>
    <w:rsid w:val="00FD3188"/>
    <w:rsid w:val="00FF047E"/>
    <w:rsid w:val="00FF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67D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CA367D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CA367D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A367D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A367D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A367D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A367D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A367D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A367D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A367D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2BB7"/>
    <w:rPr>
      <w:rFonts w:ascii="Times New Roman" w:eastAsia="Times New Roman" w:hAnsi="Times New Roman" w:cs="Times New Roman"/>
      <w:kern w:val="28"/>
      <w:lang w:val="fr-FR"/>
    </w:rPr>
  </w:style>
  <w:style w:type="character" w:customStyle="1" w:styleId="Heading2Char">
    <w:name w:val="Heading 2 Char"/>
    <w:basedOn w:val="DefaultParagraphFont"/>
    <w:link w:val="Heading2"/>
    <w:rsid w:val="00EF2BB7"/>
    <w:rPr>
      <w:rFonts w:ascii="Times New Roman" w:eastAsia="Times New Roman" w:hAnsi="Times New Roman" w:cs="Times New Roman"/>
      <w:lang w:val="fr-FR"/>
    </w:rPr>
  </w:style>
  <w:style w:type="character" w:customStyle="1" w:styleId="Heading3Char">
    <w:name w:val="Heading 3 Char"/>
    <w:basedOn w:val="DefaultParagraphFont"/>
    <w:link w:val="Heading3"/>
    <w:rsid w:val="00EF2BB7"/>
    <w:rPr>
      <w:rFonts w:ascii="Times New Roman" w:eastAsia="Times New Roman" w:hAnsi="Times New Roman" w:cs="Times New Roman"/>
      <w:lang w:val="fr-FR"/>
    </w:rPr>
  </w:style>
  <w:style w:type="character" w:customStyle="1" w:styleId="Heading4Char">
    <w:name w:val="Heading 4 Char"/>
    <w:basedOn w:val="DefaultParagraphFont"/>
    <w:link w:val="Heading4"/>
    <w:rsid w:val="00EF2BB7"/>
    <w:rPr>
      <w:rFonts w:ascii="Times New Roman" w:eastAsia="Times New Roman" w:hAnsi="Times New Roman" w:cs="Times New Roman"/>
      <w:lang w:val="fr-FR"/>
    </w:rPr>
  </w:style>
  <w:style w:type="character" w:customStyle="1" w:styleId="Heading5Char">
    <w:name w:val="Heading 5 Char"/>
    <w:basedOn w:val="DefaultParagraphFont"/>
    <w:link w:val="Heading5"/>
    <w:rsid w:val="00EF2BB7"/>
    <w:rPr>
      <w:rFonts w:ascii="Times New Roman" w:eastAsia="Times New Roman" w:hAnsi="Times New Roman" w:cs="Times New Roman"/>
      <w:lang w:val="fr-FR"/>
    </w:rPr>
  </w:style>
  <w:style w:type="character" w:customStyle="1" w:styleId="Heading6Char">
    <w:name w:val="Heading 6 Char"/>
    <w:basedOn w:val="DefaultParagraphFont"/>
    <w:link w:val="Heading6"/>
    <w:rsid w:val="00EF2BB7"/>
    <w:rPr>
      <w:rFonts w:ascii="Times New Roman" w:eastAsia="Times New Roman" w:hAnsi="Times New Roman" w:cs="Times New Roman"/>
      <w:lang w:val="fr-FR"/>
    </w:rPr>
  </w:style>
  <w:style w:type="character" w:customStyle="1" w:styleId="Heading7Char">
    <w:name w:val="Heading 7 Char"/>
    <w:basedOn w:val="DefaultParagraphFont"/>
    <w:link w:val="Heading7"/>
    <w:rsid w:val="00EF2BB7"/>
    <w:rPr>
      <w:rFonts w:ascii="Times New Roman" w:eastAsia="Times New Roman" w:hAnsi="Times New Roman" w:cs="Times New Roman"/>
      <w:lang w:val="fr-FR"/>
    </w:rPr>
  </w:style>
  <w:style w:type="character" w:customStyle="1" w:styleId="Heading8Char">
    <w:name w:val="Heading 8 Char"/>
    <w:basedOn w:val="DefaultParagraphFont"/>
    <w:link w:val="Heading8"/>
    <w:rsid w:val="00EF2BB7"/>
    <w:rPr>
      <w:rFonts w:ascii="Times New Roman" w:eastAsia="Times New Roman" w:hAnsi="Times New Roman" w:cs="Times New Roman"/>
      <w:lang w:val="fr-FR"/>
    </w:rPr>
  </w:style>
  <w:style w:type="character" w:customStyle="1" w:styleId="Heading9Char">
    <w:name w:val="Heading 9 Char"/>
    <w:basedOn w:val="DefaultParagraphFont"/>
    <w:link w:val="Heading9"/>
    <w:rsid w:val="00EF2BB7"/>
    <w:rPr>
      <w:rFonts w:ascii="Times New Roman" w:eastAsia="Times New Roman" w:hAnsi="Times New Roman" w:cs="Times New Roman"/>
      <w:lang w:val="fr-FR"/>
    </w:rPr>
  </w:style>
  <w:style w:type="paragraph" w:styleId="Footer">
    <w:name w:val="footer"/>
    <w:basedOn w:val="Normal"/>
    <w:link w:val="FooterChar"/>
    <w:qFormat/>
    <w:rsid w:val="00CA367D"/>
  </w:style>
  <w:style w:type="character" w:customStyle="1" w:styleId="FooterChar">
    <w:name w:val="Footer Char"/>
    <w:basedOn w:val="DefaultParagraphFont"/>
    <w:link w:val="Footer"/>
    <w:rsid w:val="00EF2BB7"/>
    <w:rPr>
      <w:rFonts w:ascii="Times New Roman" w:eastAsia="Times New Roman" w:hAnsi="Times New Roman" w:cs="Times New Roman"/>
      <w:lang w:val="fr-FR"/>
    </w:rPr>
  </w:style>
  <w:style w:type="paragraph" w:styleId="FootnoteText">
    <w:name w:val="footnote text"/>
    <w:basedOn w:val="Normal"/>
    <w:link w:val="FootnoteTextChar"/>
    <w:qFormat/>
    <w:rsid w:val="00CA367D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EF2BB7"/>
    <w:rPr>
      <w:rFonts w:ascii="Times New Roman" w:eastAsia="Times New Roman" w:hAnsi="Times New Roman" w:cs="Times New Roman"/>
      <w:sz w:val="16"/>
      <w:lang w:val="fr-FR"/>
    </w:rPr>
  </w:style>
  <w:style w:type="paragraph" w:styleId="Header">
    <w:name w:val="header"/>
    <w:basedOn w:val="Normal"/>
    <w:link w:val="HeaderChar"/>
    <w:qFormat/>
    <w:rsid w:val="00CA367D"/>
  </w:style>
  <w:style w:type="character" w:customStyle="1" w:styleId="HeaderChar">
    <w:name w:val="Header Char"/>
    <w:basedOn w:val="DefaultParagraphFont"/>
    <w:link w:val="Header"/>
    <w:rsid w:val="00EF2BB7"/>
    <w:rPr>
      <w:rFonts w:ascii="Times New Roman" w:eastAsia="Times New Roman" w:hAnsi="Times New Roman" w:cs="Times New Roman"/>
      <w:lang w:val="fr-FR"/>
    </w:rPr>
  </w:style>
  <w:style w:type="paragraph" w:customStyle="1" w:styleId="quotes">
    <w:name w:val="quotes"/>
    <w:basedOn w:val="Normal"/>
    <w:next w:val="Normal"/>
    <w:rsid w:val="00CA367D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CA367D"/>
    <w:rPr>
      <w:sz w:val="24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6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67D"/>
    <w:rPr>
      <w:rFonts w:ascii="Tahoma" w:eastAsia="Times New Roman" w:hAnsi="Tahoma" w:cs="Tahoma"/>
      <w:sz w:val="16"/>
      <w:szCs w:val="16"/>
      <w:lang w:val="fr-FR"/>
    </w:rPr>
  </w:style>
  <w:style w:type="character" w:styleId="Hyperlink">
    <w:name w:val="Hyperlink"/>
    <w:basedOn w:val="DefaultParagraphFont"/>
    <w:uiPriority w:val="99"/>
    <w:unhideWhenUsed/>
    <w:rsid w:val="008A15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11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67D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CA367D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CA367D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A367D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A367D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A367D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A367D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A367D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A367D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A367D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2BB7"/>
    <w:rPr>
      <w:rFonts w:ascii="Times New Roman" w:eastAsia="Times New Roman" w:hAnsi="Times New Roman" w:cs="Times New Roman"/>
      <w:kern w:val="28"/>
      <w:lang w:val="fr-FR"/>
    </w:rPr>
  </w:style>
  <w:style w:type="character" w:customStyle="1" w:styleId="Heading2Char">
    <w:name w:val="Heading 2 Char"/>
    <w:basedOn w:val="DefaultParagraphFont"/>
    <w:link w:val="Heading2"/>
    <w:rsid w:val="00EF2BB7"/>
    <w:rPr>
      <w:rFonts w:ascii="Times New Roman" w:eastAsia="Times New Roman" w:hAnsi="Times New Roman" w:cs="Times New Roman"/>
      <w:lang w:val="fr-FR"/>
    </w:rPr>
  </w:style>
  <w:style w:type="character" w:customStyle="1" w:styleId="Heading3Char">
    <w:name w:val="Heading 3 Char"/>
    <w:basedOn w:val="DefaultParagraphFont"/>
    <w:link w:val="Heading3"/>
    <w:rsid w:val="00EF2BB7"/>
    <w:rPr>
      <w:rFonts w:ascii="Times New Roman" w:eastAsia="Times New Roman" w:hAnsi="Times New Roman" w:cs="Times New Roman"/>
      <w:lang w:val="fr-FR"/>
    </w:rPr>
  </w:style>
  <w:style w:type="character" w:customStyle="1" w:styleId="Heading4Char">
    <w:name w:val="Heading 4 Char"/>
    <w:basedOn w:val="DefaultParagraphFont"/>
    <w:link w:val="Heading4"/>
    <w:rsid w:val="00EF2BB7"/>
    <w:rPr>
      <w:rFonts w:ascii="Times New Roman" w:eastAsia="Times New Roman" w:hAnsi="Times New Roman" w:cs="Times New Roman"/>
      <w:lang w:val="fr-FR"/>
    </w:rPr>
  </w:style>
  <w:style w:type="character" w:customStyle="1" w:styleId="Heading5Char">
    <w:name w:val="Heading 5 Char"/>
    <w:basedOn w:val="DefaultParagraphFont"/>
    <w:link w:val="Heading5"/>
    <w:rsid w:val="00EF2BB7"/>
    <w:rPr>
      <w:rFonts w:ascii="Times New Roman" w:eastAsia="Times New Roman" w:hAnsi="Times New Roman" w:cs="Times New Roman"/>
      <w:lang w:val="fr-FR"/>
    </w:rPr>
  </w:style>
  <w:style w:type="character" w:customStyle="1" w:styleId="Heading6Char">
    <w:name w:val="Heading 6 Char"/>
    <w:basedOn w:val="DefaultParagraphFont"/>
    <w:link w:val="Heading6"/>
    <w:rsid w:val="00EF2BB7"/>
    <w:rPr>
      <w:rFonts w:ascii="Times New Roman" w:eastAsia="Times New Roman" w:hAnsi="Times New Roman" w:cs="Times New Roman"/>
      <w:lang w:val="fr-FR"/>
    </w:rPr>
  </w:style>
  <w:style w:type="character" w:customStyle="1" w:styleId="Heading7Char">
    <w:name w:val="Heading 7 Char"/>
    <w:basedOn w:val="DefaultParagraphFont"/>
    <w:link w:val="Heading7"/>
    <w:rsid w:val="00EF2BB7"/>
    <w:rPr>
      <w:rFonts w:ascii="Times New Roman" w:eastAsia="Times New Roman" w:hAnsi="Times New Roman" w:cs="Times New Roman"/>
      <w:lang w:val="fr-FR"/>
    </w:rPr>
  </w:style>
  <w:style w:type="character" w:customStyle="1" w:styleId="Heading8Char">
    <w:name w:val="Heading 8 Char"/>
    <w:basedOn w:val="DefaultParagraphFont"/>
    <w:link w:val="Heading8"/>
    <w:rsid w:val="00EF2BB7"/>
    <w:rPr>
      <w:rFonts w:ascii="Times New Roman" w:eastAsia="Times New Roman" w:hAnsi="Times New Roman" w:cs="Times New Roman"/>
      <w:lang w:val="fr-FR"/>
    </w:rPr>
  </w:style>
  <w:style w:type="character" w:customStyle="1" w:styleId="Heading9Char">
    <w:name w:val="Heading 9 Char"/>
    <w:basedOn w:val="DefaultParagraphFont"/>
    <w:link w:val="Heading9"/>
    <w:rsid w:val="00EF2BB7"/>
    <w:rPr>
      <w:rFonts w:ascii="Times New Roman" w:eastAsia="Times New Roman" w:hAnsi="Times New Roman" w:cs="Times New Roman"/>
      <w:lang w:val="fr-FR"/>
    </w:rPr>
  </w:style>
  <w:style w:type="paragraph" w:styleId="Footer">
    <w:name w:val="footer"/>
    <w:basedOn w:val="Normal"/>
    <w:link w:val="FooterChar"/>
    <w:qFormat/>
    <w:rsid w:val="00CA367D"/>
  </w:style>
  <w:style w:type="character" w:customStyle="1" w:styleId="FooterChar">
    <w:name w:val="Footer Char"/>
    <w:basedOn w:val="DefaultParagraphFont"/>
    <w:link w:val="Footer"/>
    <w:rsid w:val="00EF2BB7"/>
    <w:rPr>
      <w:rFonts w:ascii="Times New Roman" w:eastAsia="Times New Roman" w:hAnsi="Times New Roman" w:cs="Times New Roman"/>
      <w:lang w:val="fr-FR"/>
    </w:rPr>
  </w:style>
  <w:style w:type="paragraph" w:styleId="FootnoteText">
    <w:name w:val="footnote text"/>
    <w:basedOn w:val="Normal"/>
    <w:link w:val="FootnoteTextChar"/>
    <w:qFormat/>
    <w:rsid w:val="00CA367D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EF2BB7"/>
    <w:rPr>
      <w:rFonts w:ascii="Times New Roman" w:eastAsia="Times New Roman" w:hAnsi="Times New Roman" w:cs="Times New Roman"/>
      <w:sz w:val="16"/>
      <w:lang w:val="fr-FR"/>
    </w:rPr>
  </w:style>
  <w:style w:type="paragraph" w:styleId="Header">
    <w:name w:val="header"/>
    <w:basedOn w:val="Normal"/>
    <w:link w:val="HeaderChar"/>
    <w:qFormat/>
    <w:rsid w:val="00CA367D"/>
  </w:style>
  <w:style w:type="character" w:customStyle="1" w:styleId="HeaderChar">
    <w:name w:val="Header Char"/>
    <w:basedOn w:val="DefaultParagraphFont"/>
    <w:link w:val="Header"/>
    <w:rsid w:val="00EF2BB7"/>
    <w:rPr>
      <w:rFonts w:ascii="Times New Roman" w:eastAsia="Times New Roman" w:hAnsi="Times New Roman" w:cs="Times New Roman"/>
      <w:lang w:val="fr-FR"/>
    </w:rPr>
  </w:style>
  <w:style w:type="paragraph" w:customStyle="1" w:styleId="quotes">
    <w:name w:val="quotes"/>
    <w:basedOn w:val="Normal"/>
    <w:next w:val="Normal"/>
    <w:rsid w:val="00CA367D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CA367D"/>
    <w:rPr>
      <w:sz w:val="24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6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67D"/>
    <w:rPr>
      <w:rFonts w:ascii="Tahoma" w:eastAsia="Times New Roman" w:hAnsi="Tahoma" w:cs="Tahoma"/>
      <w:sz w:val="16"/>
      <w:szCs w:val="16"/>
      <w:lang w:val="fr-FR"/>
    </w:rPr>
  </w:style>
  <w:style w:type="character" w:styleId="Hyperlink">
    <w:name w:val="Hyperlink"/>
    <w:basedOn w:val="DefaultParagraphFont"/>
    <w:uiPriority w:val="99"/>
    <w:unhideWhenUsed/>
    <w:rsid w:val="008A15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1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f264e46-9252-4f01-a3b2-4cb67eb6fc3c">SNS6YXTC77FS-9-8146</_dlc_DocId>
    <_dlc_DocIdUrl xmlns="9f264e46-9252-4f01-a3b2-4cb67eb6fc3c">
      <Url>http://dm/EESC/2015/_layouts/DocIdRedir.aspx?ID=SNS6YXTC77FS-9-8146</Url>
      <Description>SNS6YXTC77FS-9-8146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TCD</TermName>
          <TermId xmlns="http://schemas.microsoft.com/office/infopath/2007/PartnerControls">cd9d6eb6-3f4f-424a-b2d1-57c9d450eaaf</TermId>
        </TermInfo>
      </Terms>
    </DocumentType_0>
    <MeetingNumber xmlns="ae52afa4-c322-454e-8472-1d2b1900674c" xsi:nil="true"/>
    <Procedure xmlns="9f264e46-9252-4f01-a3b2-4cb67eb6fc3c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9f264e46-9252-4f01-a3b2-4cb67eb6fc3c">2017-08-28T12:00:00+00:00</ProductionDate>
    <FicheYear xmlns="9f264e46-9252-4f01-a3b2-4cb67eb6fc3c">2017</FicheYear>
    <DocumentNumber xmlns="ae52afa4-c322-454e-8472-1d2b1900674c">6052</DocumentNumber>
    <DocumentVersion xmlns="9f264e46-9252-4f01-a3b2-4cb67eb6fc3c">0</DocumentVersion>
    <DossierNumber xmlns="9f264e46-9252-4f01-a3b2-4cb67eb6fc3c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9f264e46-9252-4f01-a3b2-4cb67eb6fc3c">2017-09-07T12:00:00+00:00</MeetingDate>
    <TaxCatchAll xmlns="9f264e46-9252-4f01-a3b2-4cb67eb6fc3c">
      <Value>133</Value>
      <Value>120</Value>
      <Value>9</Value>
      <Value>8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9f264e46-9252-4f01-a3b2-4cb67eb6fc3c" xsi:nil="true"/>
    <FicheNumber xmlns="9f264e46-9252-4f01-a3b2-4cb67eb6fc3c">8858</FicheNumber>
    <DocumentYear xmlns="9f264e46-9252-4f01-a3b2-4cb67eb6fc3c">2015</DocumentYear>
    <DocumentPart xmlns="9f264e46-9252-4f01-a3b2-4cb67eb6fc3c">1</DocumentPart>
    <AdoptionDate xmlns="9f264e46-9252-4f01-a3b2-4cb67eb6fc3c" xsi:nil="true"/>
    <RequestingService xmlns="9f264e46-9252-4f01-a3b2-4cb67eb6fc3c">Union économique et monétaire, cohésion economique et sociale</RequestingService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BUR ECO</TermName>
          <TermId xmlns="http://schemas.microsoft.com/office/infopath/2007/PartnerControls">5eaf91c5-aefa-4637-9de7-a46ece07a8ce</TermId>
        </TermInfo>
      </Terms>
    </MeetingName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</Terms>
    </AvailableTranslations_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E7D2B1FD55A9544EB8E25229FA72FDDF" ma:contentTypeVersion="6" ma:contentTypeDescription="Defines the documents for Document Manager V2" ma:contentTypeScope="" ma:versionID="6da63f0e7b64b5ad38ffc84374d8e0c6">
  <xsd:schema xmlns:xsd="http://www.w3.org/2001/XMLSchema" xmlns:xs="http://www.w3.org/2001/XMLSchema" xmlns:p="http://schemas.microsoft.com/office/2006/metadata/properties" xmlns:ns2="9f264e46-9252-4f01-a3b2-4cb67eb6fc3c" xmlns:ns3="http://schemas.microsoft.com/sharepoint/v3/fields" xmlns:ns4="ae52afa4-c322-454e-8472-1d2b1900674c" targetNamespace="http://schemas.microsoft.com/office/2006/metadata/properties" ma:root="true" ma:fieldsID="84e1d7706c1bfffc02b31319c51b7638" ns2:_="" ns3:_="" ns4:_="">
    <xsd:import namespace="9f264e46-9252-4f01-a3b2-4cb67eb6fc3c"/>
    <xsd:import namespace="http://schemas.microsoft.com/sharepoint/v3/fields"/>
    <xsd:import namespace="ae52afa4-c322-454e-8472-1d2b1900674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4:DocumentNumber" minOccurs="0"/>
                <xsd:element ref="ns2:Rapporteur" minOccurs="0"/>
                <xsd:element ref="ns2:RequestingService" minOccurs="0"/>
                <xsd:element ref="ns2:DocumentPart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Version" minOccurs="0"/>
                <xsd:element ref="ns3:DossierName_0" minOccurs="0"/>
                <xsd:element ref="ns2:FicheYear" minOccurs="0"/>
                <xsd:element ref="ns3:DocumentType_0" minOccurs="0"/>
                <xsd:element ref="ns3:DocumentStatus_0" minOccurs="0"/>
                <xsd:element ref="ns3:AvailableTranslations_0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64e46-9252-4f01-a3b2-4cb67eb6fc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5" nillable="true" ma:displayName="Rapporteur" ma:internalName="Rapporteur" ma:readOnly="false">
      <xsd:simpleType>
        <xsd:restriction base="dms:Text"/>
      </xsd:simpleType>
    </xsd:element>
    <xsd:element name="RequestingService" ma:index="16" nillable="true" ma:displayName="Requesting Service" ma:internalName="RequestingService" ma:readOnly="false">
      <xsd:simpleType>
        <xsd:restriction base="dms:Text"/>
      </xsd:simpleType>
    </xsd:element>
    <xsd:element name="DocumentPart" ma:index="17" nillable="true" ma:displayName="Document Part" ma:decimals="0" ma:internalName="DocumentPart" ma:readOnly="false">
      <xsd:simpleType>
        <xsd:restriction base="dms:Unknown"/>
      </xsd:simpleType>
    </xsd:element>
    <xsd:element name="AdoptionDate" ma:index="18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9" nillable="true" ma:displayName="Dossier Number" ma:decimals="0" ma:internalName="DossierNumber" ma:readOnly="false">
      <xsd:simpleType>
        <xsd:restriction base="dms:Unknown"/>
      </xsd:simpleType>
    </xsd:element>
    <xsd:element name="TaxCatchAll" ma:index="21" nillable="true" ma:displayName="Taxonomy Catch All Column" ma:hidden="true" ma:list="{e9fa9735-0925-4987-9efe-0f2c71b03369}" ma:internalName="TaxCatchAll" ma:showField="CatchAllData" ma:web="9f264e46-9252-4f01-a3b2-4cb67eb6f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2" nillable="true" ma:displayName="Taxonomy Catch All Column1" ma:hidden="true" ma:list="{e9fa9735-0925-4987-9efe-0f2c71b03369}" ma:internalName="TaxCatchAllLabel" ma:readOnly="true" ma:showField="CatchAllDataLabel" ma:web="9f264e46-9252-4f01-a3b2-4cb67eb6f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4" nillable="true" ma:displayName="Fiche Number" ma:decimals="0" ma:internalName="FicheNumber" ma:readOnly="false">
      <xsd:simpleType>
        <xsd:restriction base="dms:Unknown"/>
      </xsd:simpleType>
    </xsd:element>
    <xsd:element name="Procedure" ma:index="25" nillable="true" ma:displayName="Procedure" ma:internalName="Procedure" ma:readOnly="false">
      <xsd:simpleType>
        <xsd:restriction base="dms:Text"/>
      </xsd:simpleType>
    </xsd:element>
    <xsd:element name="DocumentVersion" ma:index="26" nillable="true" ma:displayName="Document Version" ma:decimals="0" ma:internalName="DocumentVersion" ma:readOnly="false">
      <xsd:simpleType>
        <xsd:restriction base="dms:Unknown"/>
      </xsd:simpleType>
    </xsd:element>
    <xsd:element name="FicheYear" ma:index="29" nillable="true" ma:displayName="Fiche Year" ma:decimals="0" ma:internalName="FicheYear" ma:readOnly="false">
      <xsd:simpleType>
        <xsd:restriction base="dms:Unknown"/>
      </xsd:simpleType>
    </xsd:element>
    <xsd:element name="DocumentYear" ma:index="42" ma:displayName="Document Year" ma:decimals="0" ma:internalName="DocumentYear" ma:readOnly="false">
      <xsd:simpleType>
        <xsd:restriction base="dms:Unknown"/>
      </xsd:simpleType>
    </xsd:element>
    <xsd:element name="MeetingDate" ma:index="45" nillable="true" ma:displayName="Meeting Date" ma:format="DateOnly" ma:internalName="Meeting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20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7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0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4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6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8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40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3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2afa4-c322-454e-8472-1d2b1900674c" elementFormDefault="qualified">
    <xsd:import namespace="http://schemas.microsoft.com/office/2006/documentManagement/types"/>
    <xsd:import namespace="http://schemas.microsoft.com/office/infopath/2007/PartnerControls"/>
    <xsd:element name="DocumentNumber" ma:index="14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6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56B8A2-093A-46E9-AA50-CFAF1F103B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3261BB-BF95-4A4F-863D-6543E3E5125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4FBF79C-BA72-4E92-88E4-322D3C7BDA69}">
  <ds:schemaRefs>
    <ds:schemaRef ds:uri="http://schemas.microsoft.com/office/2006/documentManagement/types"/>
    <ds:schemaRef ds:uri="9f264e46-9252-4f01-a3b2-4cb67eb6fc3c"/>
    <ds:schemaRef ds:uri="http://purl.org/dc/elements/1.1/"/>
    <ds:schemaRef ds:uri="http://purl.org/dc/dcmitype/"/>
    <ds:schemaRef ds:uri="http://schemas.microsoft.com/office/2006/metadata/properties"/>
    <ds:schemaRef ds:uri="ae52afa4-c322-454e-8472-1d2b1900674c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3531618C-C68D-4D17-B70A-312F180C4E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264e46-9252-4f01-a3b2-4cb67eb6fc3c"/>
    <ds:schemaRef ds:uri="http://schemas.microsoft.com/sharepoint/v3/fields"/>
    <ds:schemaRef ds:uri="ae52afa4-c322-454e-8472-1d2b190067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1</TotalTime>
  <Pages>3</Pages>
  <Words>978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Priorités de la section ECO pour 2018 - synthèse</vt:lpstr>
    </vt:vector>
  </TitlesOfParts>
  <Company>CESE-CdR</Company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Priorités de la section ECO pour 2018 - synthèse</dc:title>
  <dc:subject>Travaux consultatifs divers</dc:subject>
  <dc:creator>Zuzana Bokorova</dc:creator>
  <cp:keywords>EESC-2015-06052-01-00-TCD-TRA-FR</cp:keywords>
  <dc:description>Rapporteur : -_x000d_
Langue originale : EN_x000d_
Date du document : 28/08/2017_x000d_
Date de la réunion : 07/09/2017_x000d_
Documents externes : -_x000d_
Fonctionnaire responsable : Marchlewitz Gilbert, téléphone : + 2 546 9358_x000d_
_x000d_
Résumé :</dc:description>
  <cp:lastModifiedBy>Zuzana Bokorova</cp:lastModifiedBy>
  <cp:revision>3</cp:revision>
  <cp:lastPrinted>2017-09-06T08:13:00Z</cp:lastPrinted>
  <dcterms:created xsi:type="dcterms:W3CDTF">2017-09-05T08:12:00Z</dcterms:created>
  <dcterms:modified xsi:type="dcterms:W3CDTF">2017-09-06T08:13:00Z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23/08/2017, 23/08/2017, 22/08/2017, 19/07/2017, 13/07/2017, 18/11/2015, 18/11/2015</vt:lpwstr>
  </property>
  <property fmtid="{D5CDD505-2E9C-101B-9397-08002B2CF9AE}" pid="4" name="Pref_Time">
    <vt:lpwstr>17:35:13, 17:00:59, 15:58:10, 15:56:40, 17:53:30, 13:04:52, 11:13:27</vt:lpwstr>
  </property>
  <property fmtid="{D5CDD505-2E9C-101B-9397-08002B2CF9AE}" pid="5" name="Pref_User">
    <vt:lpwstr>mreg, nmcg, enied, mreg, amett, mkop, ssex</vt:lpwstr>
  </property>
  <property fmtid="{D5CDD505-2E9C-101B-9397-08002B2CF9AE}" pid="6" name="Pref_FileName">
    <vt:lpwstr>EESC-2015-06052-01-00-TCD-TRA-EN-CRR.docx, EESC-2015-06052-01-00-TCD-CRR-EN.docx, EESC-2015-06052-00-03-TCD-ORI.docx, EESC-2015-06052-00-02-TCD-ORI.docx, EESC-2015-06052-00-01-TCD-TRA-EN-CRR.docx, EESC-2015-06052-00-00-TCD-TRA-EN-CRR.docx, EESC-2015-06052</vt:lpwstr>
  </property>
  <property fmtid="{D5CDD505-2E9C-101B-9397-08002B2CF9AE}" pid="7" name="ContentTypeId">
    <vt:lpwstr>0x010100EA97B91038054C99906057A708A1480A00E7D2B1FD55A9544EB8E25229FA72FDDF</vt:lpwstr>
  </property>
  <property fmtid="{D5CDD505-2E9C-101B-9397-08002B2CF9AE}" pid="8" name="_dlc_DocIdItemGuid">
    <vt:lpwstr>89ffb467-35db-4d09-a51d-eb199154c062</vt:lpwstr>
  </property>
  <property fmtid="{D5CDD505-2E9C-101B-9397-08002B2CF9AE}" pid="9" name="DocumentType_0">
    <vt:lpwstr>TCD|cd9d6eb6-3f4f-424a-b2d1-57c9d450eaaf</vt:lpwstr>
  </property>
  <property fmtid="{D5CDD505-2E9C-101B-9397-08002B2CF9AE}" pid="10" name="AvailableTranslations">
    <vt:lpwstr>9;#EN|f2175f21-25d7-44a3-96da-d6a61b075e1b;#4;#FR|d2afafd3-4c81-4f60-8f52-ee33f2f54ff3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FicheYear">
    <vt:i4>2017</vt:i4>
  </property>
  <property fmtid="{D5CDD505-2E9C-101B-9397-08002B2CF9AE}" pid="14" name="DocumentNumber">
    <vt:i4>6052</vt:i4>
  </property>
  <property fmtid="{D5CDD505-2E9C-101B-9397-08002B2CF9AE}" pid="15" name="DocumentVersion">
    <vt:i4>0</vt:i4>
  </property>
  <property fmtid="{D5CDD505-2E9C-101B-9397-08002B2CF9AE}" pid="16" name="DocumentType">
    <vt:lpwstr>8;#TCD|cd9d6eb6-3f4f-424a-b2d1-57c9d450eaaf</vt:lpwstr>
  </property>
  <property fmtid="{D5CDD505-2E9C-101B-9397-08002B2CF9AE}" pid="17" name="DocumentStatus">
    <vt:lpwstr>2;#TRA|150d2a88-1431-44e6-a8ca-0bb753ab8672</vt:lpwstr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0" name="DocumentPart">
    <vt:i4>1</vt:i4>
  </property>
  <property fmtid="{D5CDD505-2E9C-101B-9397-08002B2CF9AE}" pid="21" name="RequestingService">
    <vt:lpwstr>Union économique et monétaire, cohésion economique et sociale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Confidentiality_0">
    <vt:lpwstr>Unrestricted|826e22d7-d029-4ec0-a450-0c28ff673572</vt:lpwstr>
  </property>
  <property fmtid="{D5CDD505-2E9C-101B-9397-08002B2CF9AE}" pid="24" name="MeetingName_0">
    <vt:lpwstr>BUR ECO|5eaf91c5-aefa-4637-9de7-a46ece07a8ce</vt:lpwstr>
  </property>
  <property fmtid="{D5CDD505-2E9C-101B-9397-08002B2CF9AE}" pid="25" name="OriginalLanguage">
    <vt:lpwstr>9;#EN|f2175f21-25d7-44a3-96da-d6a61b075e1b</vt:lpwstr>
  </property>
  <property fmtid="{D5CDD505-2E9C-101B-9397-08002B2CF9AE}" pid="26" name="MeetingName">
    <vt:lpwstr>133;#BUR ECO|5eaf91c5-aefa-4637-9de7-a46ece07a8ce</vt:lpwstr>
  </property>
  <property fmtid="{D5CDD505-2E9C-101B-9397-08002B2CF9AE}" pid="27" name="DocumentStatus_0">
    <vt:lpwstr>TRA|150d2a88-1431-44e6-a8ca-0bb753ab8672</vt:lpwstr>
  </property>
  <property fmtid="{D5CDD505-2E9C-101B-9397-08002B2CF9AE}" pid="28" name="OriginalLanguage_0">
    <vt:lpwstr>EN|f2175f21-25d7-44a3-96da-d6a61b075e1b</vt:lpwstr>
  </property>
  <property fmtid="{D5CDD505-2E9C-101B-9397-08002B2CF9AE}" pid="29" name="MeetingDate">
    <vt:filetime>2017-09-07T12:00:00Z</vt:filetime>
  </property>
  <property fmtid="{D5CDD505-2E9C-101B-9397-08002B2CF9AE}" pid="30" name="TaxCatchAll">
    <vt:lpwstr>133;#BUR ECO|5eaf91c5-aefa-4637-9de7-a46ece07a8ce;#120;#Final|ea5e6674-7b27-4bac-b091-73adbb394efe;#9;#EN|f2175f21-25d7-44a3-96da-d6a61b075e1b;#8;#TCD|cd9d6eb6-3f4f-424a-b2d1-57c9d450eaaf;#5;#Unrestricted|826e22d7-d029-4ec0-a450-0c28ff673572;#2;#TRA|150d2</vt:lpwstr>
  </property>
  <property fmtid="{D5CDD505-2E9C-101B-9397-08002B2CF9AE}" pid="31" name="AvailableTranslations_0">
    <vt:lpwstr>EN|f2175f21-25d7-44a3-96da-d6a61b075e1b</vt:lpwstr>
  </property>
  <property fmtid="{D5CDD505-2E9C-101B-9397-08002B2CF9AE}" pid="32" name="VersionStatus">
    <vt:lpwstr>120;#Final|ea5e6674-7b27-4bac-b091-73adbb394efe</vt:lpwstr>
  </property>
  <property fmtid="{D5CDD505-2E9C-101B-9397-08002B2CF9AE}" pid="33" name="VersionStatus_0">
    <vt:lpwstr>Final|ea5e6674-7b27-4bac-b091-73adbb394efe</vt:lpwstr>
  </property>
  <property fmtid="{D5CDD505-2E9C-101B-9397-08002B2CF9AE}" pid="34" name="FicheNumber">
    <vt:i4>8858</vt:i4>
  </property>
  <property fmtid="{D5CDD505-2E9C-101B-9397-08002B2CF9AE}" pid="35" name="DocumentYear">
    <vt:i4>2015</vt:i4>
  </property>
  <property fmtid="{D5CDD505-2E9C-101B-9397-08002B2CF9AE}" pid="36" name="DocumentLanguage">
    <vt:lpwstr>4;#FR|d2afafd3-4c81-4f60-8f52-ee33f2f54ff3</vt:lpwstr>
  </property>
  <property fmtid="{D5CDD505-2E9C-101B-9397-08002B2CF9AE}" pid="37" name="DocumentLanguage_0">
    <vt:lpwstr>EN|f2175f21-25d7-44a3-96da-d6a61b075e1b</vt:lpwstr>
  </property>
</Properties>
</file>