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5D" w:rsidRPr="00CA367D" w:rsidRDefault="00CA367D" w:rsidP="000F515D">
      <w:pPr>
        <w:ind w:right="-108"/>
        <w:jc w:val="center"/>
      </w:pPr>
      <w:r w:rsidRPr="00CA367D">
        <w:rPr>
          <w:noProof/>
          <w:sz w:val="20"/>
          <w:lang w:val="fr-BE" w:eastAsia="fr-BE"/>
        </w:rPr>
        <mc:AlternateContent>
          <mc:Choice Requires="wps">
            <w:drawing>
              <wp:anchor distT="0" distB="0" distL="114300" distR="114300" simplePos="0" relativeHeight="251659264" behindDoc="1" locked="0" layoutInCell="0" allowOverlap="1" wp14:anchorId="17F2776A" wp14:editId="4BDBE417">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67D" w:rsidRPr="00CA367D" w:rsidRDefault="00CA367D" w:rsidP="00CA367D">
                            <w:pPr>
                              <w:jc w:val="center"/>
                              <w:rPr>
                                <w:rFonts w:ascii="Arial" w:hAnsi="Arial"/>
                                <w:b/>
                                <w:sz w:val="48"/>
                              </w:rPr>
                            </w:pPr>
                            <w:r w:rsidRPr="00CA367D">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CA367D" w:rsidR="00CA367D" w:rsidP="00CA367D" w:rsidRDefault="00CA367D">
                      <w:pPr>
                        <w:jc w:val="center"/>
                        <w:rPr>
                          <w:rFonts w:ascii="Arial" w:hAnsi="Arial"/>
                          <w:b/>
                          <w:sz w:val="48"/>
                        </w:rPr>
                      </w:pPr>
                      <w:r w:rsidRPr="00CA367D">
                        <w:rPr>
                          <w:rFonts w:ascii="Arial" w:hAnsi="Arial"/>
                          <w:b/>
                          <w:sz w:val="48"/>
                        </w:rPr>
                        <w:t>EN</w:t>
                      </w:r>
                    </w:p>
                  </w:txbxContent>
                </v:textbox>
                <w10:wrap anchorx="page" anchory="page"/>
              </v:shape>
            </w:pict>
          </mc:Fallback>
        </mc:AlternateContent>
      </w:r>
      <w:r w:rsidR="000F515D" w:rsidRPr="00CA367D">
        <w:rPr>
          <w:noProof/>
          <w:lang w:val="fr-BE" w:eastAsia="fr-BE"/>
        </w:rPr>
        <w:drawing>
          <wp:inline distT="0" distB="0" distL="0" distR="0" wp14:anchorId="4DCA243D" wp14:editId="5EDD28DA">
            <wp:extent cx="882650" cy="556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0F515D" w:rsidRPr="00CA367D" w:rsidRDefault="000F515D" w:rsidP="000F515D">
      <w:pPr>
        <w:ind w:right="-108"/>
        <w:jc w:val="center"/>
        <w:rPr>
          <w:rFonts w:ascii="Arial" w:hAnsi="Arial" w:cs="Arial"/>
          <w:b/>
          <w:i/>
          <w:sz w:val="20"/>
        </w:rPr>
      </w:pPr>
      <w:r w:rsidRPr="00CA367D">
        <w:rPr>
          <w:rFonts w:ascii="Arial" w:hAnsi="Arial" w:cs="Arial"/>
          <w:b/>
          <w:i/>
          <w:sz w:val="20"/>
        </w:rPr>
        <w:t>European Economic and Social Committee</w:t>
      </w:r>
    </w:p>
    <w:p w:rsidR="000F515D" w:rsidRPr="00CA367D" w:rsidRDefault="000F515D" w:rsidP="000F515D">
      <w:pPr>
        <w:ind w:right="-108"/>
        <w:jc w:val="center"/>
        <w:rPr>
          <w:rFonts w:ascii="Arial" w:hAnsi="Arial" w:cs="Arial"/>
          <w:b/>
          <w:i/>
          <w:sz w:val="20"/>
        </w:rPr>
      </w:pPr>
      <w:r w:rsidRPr="00CA367D">
        <w:rPr>
          <w:rFonts w:ascii="Arial" w:hAnsi="Arial" w:cs="Arial"/>
          <w:b/>
          <w:i/>
          <w:sz w:val="20"/>
        </w:rPr>
        <w:t>Directorate B –</w:t>
      </w:r>
      <w:r w:rsidR="00EE6DDC" w:rsidRPr="00CA367D">
        <w:rPr>
          <w:rFonts w:ascii="Arial" w:hAnsi="Arial" w:cs="Arial"/>
          <w:b/>
          <w:i/>
          <w:sz w:val="20"/>
        </w:rPr>
        <w:t xml:space="preserve">Legislative </w:t>
      </w:r>
      <w:r w:rsidRPr="00CA367D">
        <w:rPr>
          <w:rFonts w:ascii="Arial" w:hAnsi="Arial" w:cs="Arial"/>
          <w:b/>
          <w:i/>
          <w:sz w:val="20"/>
        </w:rPr>
        <w:t>Work</w:t>
      </w:r>
    </w:p>
    <w:p w:rsidR="000F515D" w:rsidRPr="00CA367D" w:rsidRDefault="000F515D" w:rsidP="000F515D">
      <w:pPr>
        <w:jc w:val="center"/>
        <w:rPr>
          <w:rFonts w:ascii="Arial" w:hAnsi="Arial" w:cs="Arial"/>
          <w:b/>
          <w:i/>
          <w:sz w:val="20"/>
        </w:rPr>
      </w:pPr>
      <w:r w:rsidRPr="00CA367D">
        <w:rPr>
          <w:rFonts w:ascii="Arial" w:hAnsi="Arial" w:cs="Arial"/>
          <w:b/>
          <w:i/>
          <w:sz w:val="20"/>
        </w:rPr>
        <w:t>Section for Economic and Monetary Union and Economic and Social Cohesion</w:t>
      </w:r>
    </w:p>
    <w:p w:rsidR="000F515D" w:rsidRPr="00CA367D" w:rsidRDefault="000F515D" w:rsidP="00442EED">
      <w:pPr>
        <w:rPr>
          <w:rFonts w:eastAsia="PMingLiU"/>
        </w:rPr>
      </w:pPr>
    </w:p>
    <w:p w:rsidR="000011B3" w:rsidRPr="00CA367D" w:rsidRDefault="000011B3" w:rsidP="00442EED">
      <w:pPr>
        <w:rPr>
          <w:rFonts w:eastAsia="PMingLiU"/>
        </w:rPr>
      </w:pPr>
    </w:p>
    <w:p w:rsidR="00996CF4" w:rsidRPr="00CA367D" w:rsidRDefault="00996CF4" w:rsidP="006B79EB">
      <w:pPr>
        <w:jc w:val="center"/>
        <w:rPr>
          <w:rFonts w:eastAsia="PMingLiU"/>
          <w:b/>
          <w:sz w:val="24"/>
        </w:rPr>
      </w:pPr>
      <w:r w:rsidRPr="00CA367D">
        <w:rPr>
          <w:rFonts w:eastAsia="PMingLiU"/>
          <w:b/>
          <w:sz w:val="24"/>
        </w:rPr>
        <w:t xml:space="preserve">ECO Priorities for </w:t>
      </w:r>
      <w:r w:rsidR="00631D15" w:rsidRPr="00CA367D">
        <w:rPr>
          <w:rFonts w:eastAsia="PMingLiU"/>
          <w:b/>
          <w:sz w:val="24"/>
        </w:rPr>
        <w:t>201</w:t>
      </w:r>
      <w:r w:rsidR="002D29C0" w:rsidRPr="00CA367D">
        <w:rPr>
          <w:rFonts w:eastAsia="PMingLiU"/>
          <w:b/>
          <w:sz w:val="24"/>
        </w:rPr>
        <w:t>8</w:t>
      </w:r>
      <w:r w:rsidR="00631D15" w:rsidRPr="00CA367D">
        <w:rPr>
          <w:rFonts w:eastAsia="PMingLiU"/>
          <w:b/>
          <w:sz w:val="24"/>
        </w:rPr>
        <w:t xml:space="preserve"> and </w:t>
      </w:r>
      <w:r w:rsidR="002D29C0" w:rsidRPr="00CA367D">
        <w:rPr>
          <w:rFonts w:eastAsia="PMingLiU"/>
          <w:b/>
          <w:sz w:val="24"/>
        </w:rPr>
        <w:t>be</w:t>
      </w:r>
      <w:bookmarkStart w:id="0" w:name="_GoBack"/>
      <w:bookmarkEnd w:id="0"/>
      <w:r w:rsidR="002D29C0" w:rsidRPr="00CA367D">
        <w:rPr>
          <w:rFonts w:eastAsia="PMingLiU"/>
          <w:b/>
          <w:sz w:val="24"/>
        </w:rPr>
        <w:t>yond</w:t>
      </w:r>
    </w:p>
    <w:p w:rsidR="00996CF4" w:rsidRPr="00CA367D" w:rsidRDefault="00996CF4">
      <w:pPr>
        <w:rPr>
          <w:rFonts w:ascii="TimesNewRoman" w:eastAsia="PMingLiU" w:hAnsi="TimesNewRoman"/>
        </w:rPr>
      </w:pPr>
    </w:p>
    <w:p w:rsidR="000011B3" w:rsidRPr="00CA367D" w:rsidRDefault="000011B3" w:rsidP="00A619C4">
      <w:pPr>
        <w:jc w:val="center"/>
        <w:rPr>
          <w:rFonts w:ascii="TimesNewRoman" w:eastAsia="PMingLiU" w:hAnsi="TimesNewRoman"/>
        </w:rPr>
      </w:pPr>
      <w:r w:rsidRPr="00CA367D">
        <w:rPr>
          <w:rFonts w:ascii="TimesNewRoman" w:eastAsia="PMingLiU" w:hAnsi="TimesNewRoman" w:cs="TimesNewRoman"/>
          <w:b/>
          <w:sz w:val="24"/>
          <w:szCs w:val="24"/>
          <w:lang w:eastAsia="zh-CN"/>
        </w:rPr>
        <w:t>Executive summary</w:t>
      </w:r>
    </w:p>
    <w:p w:rsidR="00F62E0F" w:rsidRPr="00CA367D" w:rsidRDefault="00F62E0F" w:rsidP="00442EED"/>
    <w:p w:rsidR="00EF2BB7" w:rsidRPr="00CA367D" w:rsidRDefault="004D3BA8" w:rsidP="00A47289">
      <w:pPr>
        <w:pStyle w:val="Heading1"/>
      </w:pPr>
      <w:r w:rsidRPr="00CA367D">
        <w:rPr>
          <w:b/>
        </w:rPr>
        <w:t>Economic governance and d</w:t>
      </w:r>
      <w:r w:rsidR="00996CF4" w:rsidRPr="00CA367D">
        <w:rPr>
          <w:b/>
        </w:rPr>
        <w:t>eepening EMU</w:t>
      </w:r>
    </w:p>
    <w:p w:rsidR="00EF2BB7" w:rsidRPr="00CA367D" w:rsidRDefault="00EF2BB7"/>
    <w:p w:rsidR="00F10377" w:rsidRPr="00CA367D" w:rsidRDefault="00496201" w:rsidP="00A619C4">
      <w:pPr>
        <w:pStyle w:val="ListParagraph"/>
        <w:numPr>
          <w:ilvl w:val="0"/>
          <w:numId w:val="8"/>
        </w:numPr>
        <w:tabs>
          <w:tab w:val="clear" w:pos="0"/>
        </w:tabs>
        <w:ind w:left="850"/>
      </w:pPr>
      <w:r w:rsidRPr="00CA367D">
        <w:t xml:space="preserve">Putting the European economy on the track of sustained convergence, growth and employment </w:t>
      </w:r>
      <w:r w:rsidR="006F63E8" w:rsidRPr="00CA367D">
        <w:t>will remain the highest priorit</w:t>
      </w:r>
      <w:r w:rsidR="000011B3" w:rsidRPr="00CA367D">
        <w:t>y</w:t>
      </w:r>
      <w:r w:rsidR="006F63E8" w:rsidRPr="00CA367D">
        <w:t xml:space="preserve"> of the ECO section </w:t>
      </w:r>
      <w:r w:rsidR="00500266" w:rsidRPr="00CA367D">
        <w:t>over the next few years</w:t>
      </w:r>
      <w:r w:rsidR="006F63E8" w:rsidRPr="00CA367D">
        <w:t xml:space="preserve">. </w:t>
      </w:r>
      <w:r w:rsidR="000011B3" w:rsidRPr="00CA367D">
        <w:t>A</w:t>
      </w:r>
      <w:r w:rsidRPr="00CA367D">
        <w:t xml:space="preserve"> gradual process of </w:t>
      </w:r>
      <w:r w:rsidRPr="00CA367D">
        <w:rPr>
          <w:b/>
        </w:rPr>
        <w:t>deepening and completing EMU</w:t>
      </w:r>
      <w:r w:rsidRPr="00CA367D">
        <w:t xml:space="preserve"> is </w:t>
      </w:r>
      <w:r w:rsidR="00A750F6" w:rsidRPr="00CA367D">
        <w:t xml:space="preserve">the </w:t>
      </w:r>
      <w:r w:rsidRPr="00CA367D">
        <w:t xml:space="preserve">key to </w:t>
      </w:r>
      <w:r w:rsidR="00500266" w:rsidRPr="00CA367D">
        <w:t>a sustainable and balanced recovery</w:t>
      </w:r>
      <w:r w:rsidR="000011B3" w:rsidRPr="00CA367D">
        <w:t>.</w:t>
      </w:r>
    </w:p>
    <w:p w:rsidR="00AB4624" w:rsidRPr="00CA367D" w:rsidRDefault="000011B3" w:rsidP="00A619C4">
      <w:pPr>
        <w:pStyle w:val="ListParagraph"/>
        <w:numPr>
          <w:ilvl w:val="0"/>
          <w:numId w:val="8"/>
        </w:numPr>
        <w:tabs>
          <w:tab w:val="clear" w:pos="0"/>
        </w:tabs>
        <w:ind w:left="850"/>
      </w:pPr>
      <w:r w:rsidRPr="00CA367D">
        <w:t>P</w:t>
      </w:r>
      <w:r w:rsidR="00F10377" w:rsidRPr="00CA367D">
        <w:t>ersisting imbalances as well as the creation of trust and confidence across Europe require more effective and democratic economic governance, notably in the euro area</w:t>
      </w:r>
      <w:r w:rsidR="00E3772B" w:rsidRPr="00CA367D">
        <w:t xml:space="preserve">, especially given the additional uncertainty brought about by </w:t>
      </w:r>
      <w:r w:rsidR="00E3772B" w:rsidRPr="00CA367D">
        <w:rPr>
          <w:b/>
        </w:rPr>
        <w:t>Brexit</w:t>
      </w:r>
      <w:r w:rsidR="00F10377" w:rsidRPr="00CA367D">
        <w:t xml:space="preserve">. </w:t>
      </w:r>
    </w:p>
    <w:p w:rsidR="00AB4624" w:rsidRPr="00CA367D" w:rsidRDefault="00F10377" w:rsidP="00A619C4">
      <w:pPr>
        <w:pStyle w:val="ListParagraph"/>
        <w:numPr>
          <w:ilvl w:val="0"/>
          <w:numId w:val="8"/>
        </w:numPr>
        <w:tabs>
          <w:tab w:val="clear" w:pos="0"/>
        </w:tabs>
        <w:ind w:left="850"/>
      </w:pPr>
      <w:r w:rsidRPr="00CA367D">
        <w:t>To that end</w:t>
      </w:r>
      <w:r w:rsidR="00A311DF" w:rsidRPr="00CA367D">
        <w:t xml:space="preserve">, </w:t>
      </w:r>
      <w:r w:rsidR="00A311DF" w:rsidRPr="00CA367D">
        <w:rPr>
          <w:b/>
        </w:rPr>
        <w:t>in the short run</w:t>
      </w:r>
      <w:r w:rsidRPr="00CA367D">
        <w:rPr>
          <w:b/>
        </w:rPr>
        <w:t xml:space="preserve"> concrete steps </w:t>
      </w:r>
      <w:r w:rsidR="00A311DF" w:rsidRPr="00CA367D">
        <w:rPr>
          <w:b/>
        </w:rPr>
        <w:t xml:space="preserve">which are possible </w:t>
      </w:r>
      <w:r w:rsidRPr="00CA367D">
        <w:rPr>
          <w:b/>
        </w:rPr>
        <w:t xml:space="preserve">within the framework </w:t>
      </w:r>
      <w:r w:rsidR="00D808F9" w:rsidRPr="00CA367D">
        <w:rPr>
          <w:b/>
        </w:rPr>
        <w:t>of the current Treaty</w:t>
      </w:r>
      <w:r w:rsidR="00A311DF" w:rsidRPr="00CA367D">
        <w:rPr>
          <w:b/>
        </w:rPr>
        <w:t xml:space="preserve"> </w:t>
      </w:r>
      <w:r w:rsidR="00A311DF" w:rsidRPr="00CA367D">
        <w:t>should be undertaken</w:t>
      </w:r>
      <w:r w:rsidR="003661E5" w:rsidRPr="00CA367D">
        <w:t xml:space="preserve"> </w:t>
      </w:r>
      <w:r w:rsidR="00E3772B" w:rsidRPr="00CA367D">
        <w:t xml:space="preserve">to improve </w:t>
      </w:r>
      <w:r w:rsidR="00356CC6" w:rsidRPr="00CA367D">
        <w:t>the European semester</w:t>
      </w:r>
      <w:r w:rsidR="00E3772B" w:rsidRPr="00CA367D">
        <w:t>,</w:t>
      </w:r>
      <w:r w:rsidR="00A311DF" w:rsidRPr="00CA367D">
        <w:t xml:space="preserve"> the Investment Plan for Europe</w:t>
      </w:r>
      <w:r w:rsidR="00324633" w:rsidRPr="00CA367D">
        <w:t>, the design of</w:t>
      </w:r>
      <w:r w:rsidR="003661E5" w:rsidRPr="00CA367D">
        <w:t xml:space="preserve"> structural reforms</w:t>
      </w:r>
      <w:r w:rsidR="00324633" w:rsidRPr="00CA367D">
        <w:t>,</w:t>
      </w:r>
      <w:r w:rsidR="004B69D6" w:rsidRPr="00CA367D">
        <w:t xml:space="preserve"> </w:t>
      </w:r>
      <w:r w:rsidR="00324633" w:rsidRPr="00CA367D">
        <w:t xml:space="preserve">the </w:t>
      </w:r>
      <w:r w:rsidR="004B69D6" w:rsidRPr="00CA367D">
        <w:t>Banking Union and Capital Markets Union</w:t>
      </w:r>
      <w:r w:rsidR="00324633" w:rsidRPr="00CA367D">
        <w:t>,</w:t>
      </w:r>
      <w:r w:rsidR="005A05D7" w:rsidRPr="00CA367D">
        <w:t xml:space="preserve"> and</w:t>
      </w:r>
      <w:r w:rsidR="000D6692" w:rsidRPr="00CA367D">
        <w:t xml:space="preserve"> </w:t>
      </w:r>
      <w:r w:rsidR="00324633" w:rsidRPr="00CA367D">
        <w:t>the</w:t>
      </w:r>
      <w:r w:rsidR="004B69D6" w:rsidRPr="00CA367D">
        <w:t xml:space="preserve"> </w:t>
      </w:r>
      <w:r w:rsidR="000D6692" w:rsidRPr="00CA367D">
        <w:t>involvement of</w:t>
      </w:r>
      <w:r w:rsidR="004B69D6" w:rsidRPr="00CA367D">
        <w:t xml:space="preserve"> stakeholders</w:t>
      </w:r>
      <w:r w:rsidR="00324633" w:rsidRPr="00CA367D">
        <w:t xml:space="preserve"> in the decision-making process</w:t>
      </w:r>
      <w:r w:rsidR="000D6692" w:rsidRPr="00CA367D">
        <w:t>.</w:t>
      </w:r>
      <w:r w:rsidR="004B69D6" w:rsidRPr="00CA367D">
        <w:t xml:space="preserve"> </w:t>
      </w:r>
    </w:p>
    <w:p w:rsidR="00F10377" w:rsidRPr="00CA367D" w:rsidRDefault="00F10377" w:rsidP="00A619C4">
      <w:pPr>
        <w:pStyle w:val="ListParagraph"/>
        <w:numPr>
          <w:ilvl w:val="0"/>
          <w:numId w:val="8"/>
        </w:numPr>
        <w:tabs>
          <w:tab w:val="clear" w:pos="0"/>
        </w:tabs>
        <w:ind w:left="850"/>
      </w:pPr>
      <w:r w:rsidRPr="00CA367D">
        <w:rPr>
          <w:b/>
        </w:rPr>
        <w:t>In the medium-long term a revision of the Treaty</w:t>
      </w:r>
      <w:r w:rsidRPr="00CA367D">
        <w:t xml:space="preserve"> should bring the institutional provisions in line with the indispensable requirements of a </w:t>
      </w:r>
      <w:r w:rsidRPr="00CA367D">
        <w:rPr>
          <w:b/>
        </w:rPr>
        <w:t>real economic</w:t>
      </w:r>
      <w:r w:rsidR="007D00FB" w:rsidRPr="00CA367D">
        <w:rPr>
          <w:b/>
        </w:rPr>
        <w:t>, financial, social</w:t>
      </w:r>
      <w:r w:rsidRPr="00CA367D">
        <w:rPr>
          <w:b/>
        </w:rPr>
        <w:t xml:space="preserve"> and political Union</w:t>
      </w:r>
      <w:r w:rsidR="00B224D1" w:rsidRPr="00A619C4">
        <w:t>, including through</w:t>
      </w:r>
      <w:r w:rsidR="00AB4624" w:rsidRPr="00CA367D">
        <w:t xml:space="preserve"> </w:t>
      </w:r>
      <w:r w:rsidR="007D00FB" w:rsidRPr="00CA367D">
        <w:t>a new Constitutional convention</w:t>
      </w:r>
      <w:r w:rsidR="00AB4624" w:rsidRPr="00CA367D">
        <w:t xml:space="preserve"> with the active involvement of civil society representatives</w:t>
      </w:r>
      <w:r w:rsidR="007D00FB" w:rsidRPr="00CA367D">
        <w:t>.</w:t>
      </w:r>
    </w:p>
    <w:p w:rsidR="00F62E0F" w:rsidRPr="00CA367D" w:rsidRDefault="00F62E0F"/>
    <w:p w:rsidR="00996CF4" w:rsidRPr="00CA367D" w:rsidRDefault="00EE6DDC" w:rsidP="00EE6DDC">
      <w:pPr>
        <w:pStyle w:val="Heading1"/>
      </w:pPr>
      <w:r w:rsidRPr="00CA367D">
        <w:rPr>
          <w:b/>
        </w:rPr>
        <w:t>Stability of financial markets and the financing of the economy</w:t>
      </w:r>
    </w:p>
    <w:p w:rsidR="00996CF4" w:rsidRPr="00CA367D" w:rsidRDefault="00996CF4" w:rsidP="008059E7">
      <w:pPr>
        <w:keepNext/>
        <w:keepLines/>
      </w:pPr>
    </w:p>
    <w:p w:rsidR="0024459B" w:rsidRPr="00CA367D" w:rsidRDefault="001D3438" w:rsidP="00A619C4">
      <w:pPr>
        <w:pStyle w:val="ListParagraph"/>
        <w:numPr>
          <w:ilvl w:val="0"/>
          <w:numId w:val="9"/>
        </w:numPr>
        <w:tabs>
          <w:tab w:val="clear" w:pos="0"/>
        </w:tabs>
        <w:ind w:left="850"/>
      </w:pPr>
      <w:r w:rsidRPr="00CA367D">
        <w:rPr>
          <w:b/>
        </w:rPr>
        <w:t>I</w:t>
      </w:r>
      <w:r w:rsidR="0024459B" w:rsidRPr="00CA367D">
        <w:rPr>
          <w:b/>
        </w:rPr>
        <w:t>nvestment shortages</w:t>
      </w:r>
      <w:r w:rsidR="0024459B" w:rsidRPr="00CA367D">
        <w:t xml:space="preserve"> </w:t>
      </w:r>
      <w:r w:rsidRPr="00CA367D">
        <w:t xml:space="preserve">should be tackled </w:t>
      </w:r>
      <w:r w:rsidR="0024459B" w:rsidRPr="00CA367D">
        <w:t xml:space="preserve">head-on by increasing and diversifying the funding sources for Europe's businesses and long-term projects, along the lines of </w:t>
      </w:r>
      <w:r w:rsidR="0024459B" w:rsidRPr="00CA367D">
        <w:rPr>
          <w:i/>
        </w:rPr>
        <w:t>the Capital Markets Union (CMU)</w:t>
      </w:r>
      <w:r w:rsidRPr="00045531">
        <w:rPr>
          <w:i/>
        </w:rPr>
        <w:t xml:space="preserve"> </w:t>
      </w:r>
      <w:r w:rsidRPr="00CA367D">
        <w:rPr>
          <w:i/>
        </w:rPr>
        <w:t>Action Plan</w:t>
      </w:r>
      <w:r w:rsidR="0024459B" w:rsidRPr="00CA367D">
        <w:t>.</w:t>
      </w:r>
    </w:p>
    <w:p w:rsidR="0024459B" w:rsidRPr="00CA367D" w:rsidRDefault="00324A65" w:rsidP="00A619C4">
      <w:pPr>
        <w:pStyle w:val="ListParagraph"/>
        <w:numPr>
          <w:ilvl w:val="0"/>
          <w:numId w:val="9"/>
        </w:numPr>
        <w:tabs>
          <w:tab w:val="clear" w:pos="0"/>
        </w:tabs>
        <w:ind w:left="850"/>
      </w:pPr>
      <w:r w:rsidRPr="00CA367D">
        <w:t>T</w:t>
      </w:r>
      <w:r w:rsidR="0024459B" w:rsidRPr="00CA367D">
        <w:t xml:space="preserve">he </w:t>
      </w:r>
      <w:r w:rsidR="0024459B" w:rsidRPr="00CA367D">
        <w:rPr>
          <w:b/>
        </w:rPr>
        <w:t>lack of access to finance</w:t>
      </w:r>
      <w:r w:rsidR="0024459B" w:rsidRPr="00CA367D">
        <w:t xml:space="preserve"> many businesses are confronted with</w:t>
      </w:r>
      <w:r w:rsidRPr="00CA367D">
        <w:t xml:space="preserve"> is</w:t>
      </w:r>
      <w:r w:rsidR="0024459B" w:rsidRPr="00CA367D">
        <w:t xml:space="preserve"> to be taken very seriously. In particular SMEs' financing need</w:t>
      </w:r>
      <w:r w:rsidR="008C49E4" w:rsidRPr="00CA367D">
        <w:t>s</w:t>
      </w:r>
      <w:r w:rsidR="0024459B" w:rsidRPr="00CA367D">
        <w:t xml:space="preserve"> to be tackled as a priority. </w:t>
      </w:r>
    </w:p>
    <w:p w:rsidR="00AD47A6" w:rsidRPr="00A619C4" w:rsidRDefault="0024459B" w:rsidP="00A619C4">
      <w:pPr>
        <w:pStyle w:val="ListParagraph"/>
        <w:numPr>
          <w:ilvl w:val="0"/>
          <w:numId w:val="9"/>
        </w:numPr>
        <w:tabs>
          <w:tab w:val="clear" w:pos="0"/>
        </w:tabs>
        <w:ind w:left="850"/>
      </w:pPr>
      <w:r w:rsidRPr="00CA367D">
        <w:t xml:space="preserve">A </w:t>
      </w:r>
      <w:r w:rsidRPr="00CA367D">
        <w:rPr>
          <w:b/>
        </w:rPr>
        <w:t>resilient and well-functioning financial system and financial stability</w:t>
      </w:r>
      <w:r w:rsidRPr="00CA367D">
        <w:t xml:space="preserve"> are essential for stable and sustainable economic growth</w:t>
      </w:r>
      <w:r w:rsidR="00AD47A6" w:rsidRPr="00CA367D">
        <w:t>.</w:t>
      </w:r>
    </w:p>
    <w:p w:rsidR="0024459B" w:rsidRPr="00CA367D" w:rsidRDefault="00AD47A6" w:rsidP="00A619C4">
      <w:pPr>
        <w:pStyle w:val="ListParagraph"/>
        <w:numPr>
          <w:ilvl w:val="0"/>
          <w:numId w:val="9"/>
        </w:numPr>
        <w:tabs>
          <w:tab w:val="clear" w:pos="0"/>
        </w:tabs>
        <w:ind w:left="850"/>
      </w:pPr>
      <w:r w:rsidRPr="00CA367D">
        <w:rPr>
          <w:b/>
        </w:rPr>
        <w:t>C</w:t>
      </w:r>
      <w:r w:rsidR="0024459B" w:rsidRPr="00CA367D">
        <w:rPr>
          <w:b/>
        </w:rPr>
        <w:t>omplet</w:t>
      </w:r>
      <w:r w:rsidRPr="00CA367D">
        <w:rPr>
          <w:b/>
        </w:rPr>
        <w:t>ing</w:t>
      </w:r>
      <w:r w:rsidR="0024459B" w:rsidRPr="00CA367D">
        <w:rPr>
          <w:b/>
        </w:rPr>
        <w:t xml:space="preserve"> Banking Union</w:t>
      </w:r>
      <w:r w:rsidRPr="00CA367D">
        <w:t xml:space="preserve"> and</w:t>
      </w:r>
      <w:r w:rsidR="0024459B" w:rsidRPr="00CA367D">
        <w:t xml:space="preserve"> support</w:t>
      </w:r>
      <w:r w:rsidRPr="00CA367D">
        <w:t>ing</w:t>
      </w:r>
      <w:r w:rsidR="0024459B" w:rsidRPr="00CA367D">
        <w:t xml:space="preserve"> that </w:t>
      </w:r>
      <w:r w:rsidR="0024459B" w:rsidRPr="00CA367D">
        <w:rPr>
          <w:b/>
        </w:rPr>
        <w:t>further risk sharing</w:t>
      </w:r>
      <w:r w:rsidR="0024459B" w:rsidRPr="00CA367D">
        <w:t xml:space="preserve"> in the Banking Union is to be complemented by further risk reduction</w:t>
      </w:r>
      <w:r w:rsidRPr="00CA367D">
        <w:t xml:space="preserve"> are therefore primordial</w:t>
      </w:r>
      <w:r w:rsidR="0024459B" w:rsidRPr="00CA367D">
        <w:t>.</w:t>
      </w:r>
    </w:p>
    <w:p w:rsidR="0024459B" w:rsidRPr="00CA367D" w:rsidRDefault="0024459B" w:rsidP="00A619C4">
      <w:pPr>
        <w:pStyle w:val="ListParagraph"/>
        <w:numPr>
          <w:ilvl w:val="0"/>
          <w:numId w:val="9"/>
        </w:numPr>
        <w:tabs>
          <w:tab w:val="clear" w:pos="0"/>
        </w:tabs>
        <w:ind w:left="850"/>
      </w:pPr>
      <w:r w:rsidRPr="00CA367D">
        <w:t xml:space="preserve">For the EESC, a holistic and integrated approach is important in the reforms. </w:t>
      </w:r>
    </w:p>
    <w:p w:rsidR="0024459B" w:rsidRPr="00CA367D" w:rsidRDefault="008F49B5" w:rsidP="00A619C4">
      <w:pPr>
        <w:pStyle w:val="ListParagraph"/>
        <w:numPr>
          <w:ilvl w:val="0"/>
          <w:numId w:val="9"/>
        </w:numPr>
        <w:tabs>
          <w:tab w:val="clear" w:pos="0"/>
        </w:tabs>
        <w:ind w:left="850"/>
      </w:pPr>
      <w:r w:rsidRPr="00CA367D">
        <w:t>Furthermore</w:t>
      </w:r>
      <w:r w:rsidR="00AD5CE6" w:rsidRPr="00CA367D">
        <w:t>,</w:t>
      </w:r>
      <w:r w:rsidRPr="00CA367D">
        <w:t xml:space="preserve"> t</w:t>
      </w:r>
      <w:r w:rsidR="0024459B" w:rsidRPr="00CA367D">
        <w:t xml:space="preserve">he specific features and possibilities of small and non-complex banks and investment firms </w:t>
      </w:r>
      <w:r w:rsidRPr="00CA367D">
        <w:t xml:space="preserve">have to be </w:t>
      </w:r>
      <w:r w:rsidR="00626D66" w:rsidRPr="00CA367D">
        <w:t xml:space="preserve">sufficiently </w:t>
      </w:r>
      <w:r w:rsidRPr="00CA367D">
        <w:t xml:space="preserve">taken </w:t>
      </w:r>
      <w:r w:rsidR="0024459B" w:rsidRPr="00CA367D">
        <w:t>into account</w:t>
      </w:r>
      <w:r w:rsidRPr="00CA367D">
        <w:t xml:space="preserve"> (proportionality)</w:t>
      </w:r>
      <w:r w:rsidR="0024459B" w:rsidRPr="00CA367D">
        <w:t>.</w:t>
      </w:r>
    </w:p>
    <w:p w:rsidR="00232E5B" w:rsidRPr="00CA367D" w:rsidRDefault="00BD2185" w:rsidP="00A619C4">
      <w:pPr>
        <w:pStyle w:val="ListParagraph"/>
        <w:numPr>
          <w:ilvl w:val="0"/>
          <w:numId w:val="9"/>
        </w:numPr>
        <w:tabs>
          <w:tab w:val="clear" w:pos="0"/>
        </w:tabs>
        <w:ind w:left="850"/>
      </w:pPr>
      <w:r w:rsidRPr="00CA367D">
        <w:t xml:space="preserve">The departure of the United Kingdom </w:t>
      </w:r>
      <w:r w:rsidR="00DC0FCD" w:rsidRPr="00CA367D">
        <w:t xml:space="preserve">from the EU </w:t>
      </w:r>
      <w:r w:rsidRPr="00CA367D">
        <w:t xml:space="preserve">will have a major impact </w:t>
      </w:r>
      <w:r w:rsidR="008F49B5" w:rsidRPr="00CA367D">
        <w:t xml:space="preserve">and </w:t>
      </w:r>
      <w:r w:rsidR="00053993" w:rsidRPr="00CA367D">
        <w:t>will have repercussions</w:t>
      </w:r>
      <w:r w:rsidR="00232E5B" w:rsidRPr="00CA367D">
        <w:t xml:space="preserve"> </w:t>
      </w:r>
      <w:r w:rsidR="00DC0FCD" w:rsidRPr="00CA367D">
        <w:t>on policies aim</w:t>
      </w:r>
      <w:r w:rsidR="00647E57" w:rsidRPr="00CA367D">
        <w:t>ed</w:t>
      </w:r>
      <w:r w:rsidR="00DC0FCD" w:rsidRPr="00CA367D">
        <w:t xml:space="preserve"> at safeguarding </w:t>
      </w:r>
      <w:r w:rsidRPr="00CA367D">
        <w:t xml:space="preserve">financial stability </w:t>
      </w:r>
      <w:r w:rsidR="00DC0FCD" w:rsidRPr="00CA367D">
        <w:t>in the EU</w:t>
      </w:r>
      <w:r w:rsidR="00AD5CE6" w:rsidRPr="00CA367D">
        <w:t>.</w:t>
      </w:r>
      <w:r w:rsidR="00232E5B" w:rsidRPr="00CA367D">
        <w:t xml:space="preserve"> </w:t>
      </w:r>
    </w:p>
    <w:p w:rsidR="00BD2185" w:rsidRPr="00CA367D" w:rsidRDefault="00BD2185"/>
    <w:p w:rsidR="00996CF4" w:rsidRPr="00CA367D" w:rsidRDefault="00996CF4" w:rsidP="008059E7">
      <w:pPr>
        <w:pStyle w:val="Heading1"/>
        <w:keepNext/>
        <w:keepLines/>
      </w:pPr>
      <w:r w:rsidRPr="00CA367D">
        <w:rPr>
          <w:b/>
        </w:rPr>
        <w:lastRenderedPageBreak/>
        <w:t>Taxation</w:t>
      </w:r>
    </w:p>
    <w:p w:rsidR="00996CF4" w:rsidRPr="00CA367D" w:rsidRDefault="00996CF4" w:rsidP="008059E7">
      <w:pPr>
        <w:keepNext/>
        <w:keepLines/>
      </w:pPr>
    </w:p>
    <w:p w:rsidR="00D66081" w:rsidRPr="00CA367D" w:rsidRDefault="005764C8" w:rsidP="00A619C4">
      <w:pPr>
        <w:pStyle w:val="ListParagraph"/>
        <w:numPr>
          <w:ilvl w:val="0"/>
          <w:numId w:val="10"/>
        </w:numPr>
        <w:tabs>
          <w:tab w:val="clear" w:pos="0"/>
        </w:tabs>
        <w:ind w:left="850"/>
      </w:pPr>
      <w:r w:rsidRPr="00CA367D">
        <w:t xml:space="preserve">The EESC fully supports the European Commission and the OECD in fostering </w:t>
      </w:r>
      <w:r w:rsidRPr="00CA367D">
        <w:rPr>
          <w:b/>
        </w:rPr>
        <w:t>tax transparency</w:t>
      </w:r>
      <w:r w:rsidRPr="00CA367D">
        <w:t xml:space="preserve"> </w:t>
      </w:r>
      <w:r w:rsidR="00D57D47" w:rsidRPr="00CA367D">
        <w:t xml:space="preserve">and </w:t>
      </w:r>
      <w:r w:rsidR="00601E79" w:rsidRPr="00CA367D">
        <w:t xml:space="preserve">in the </w:t>
      </w:r>
      <w:r w:rsidR="00D57D47" w:rsidRPr="00CA367D">
        <w:t xml:space="preserve">fight against aggressive tax </w:t>
      </w:r>
      <w:proofErr w:type="gramStart"/>
      <w:r w:rsidR="00D57D47" w:rsidRPr="00CA367D">
        <w:t xml:space="preserve">planning </w:t>
      </w:r>
      <w:r w:rsidR="0074389F" w:rsidRPr="00CA367D">
        <w:t xml:space="preserve"> </w:t>
      </w:r>
      <w:r w:rsidRPr="00CA367D">
        <w:t>and</w:t>
      </w:r>
      <w:proofErr w:type="gramEnd"/>
      <w:r w:rsidRPr="00CA367D">
        <w:t xml:space="preserve"> backs </w:t>
      </w:r>
      <w:r w:rsidR="00626D66" w:rsidRPr="00CA367D">
        <w:t xml:space="preserve">the </w:t>
      </w:r>
      <w:r w:rsidRPr="00CA367D">
        <w:t>European Commission</w:t>
      </w:r>
      <w:r w:rsidR="00D66081" w:rsidRPr="00CA367D">
        <w:t xml:space="preserve"> programme</w:t>
      </w:r>
      <w:r w:rsidRPr="00CA367D">
        <w:t xml:space="preserve"> to </w:t>
      </w:r>
      <w:r w:rsidRPr="00CA367D">
        <w:rPr>
          <w:b/>
        </w:rPr>
        <w:t>combat tax avoidance</w:t>
      </w:r>
      <w:r w:rsidR="00976446" w:rsidRPr="00CA367D">
        <w:t>.</w:t>
      </w:r>
      <w:r w:rsidR="00E4019D" w:rsidRPr="00CA367D">
        <w:t xml:space="preserve"> </w:t>
      </w:r>
    </w:p>
    <w:p w:rsidR="005764C8" w:rsidRPr="00CA367D" w:rsidRDefault="00D66081" w:rsidP="00A619C4">
      <w:pPr>
        <w:pStyle w:val="ListParagraph"/>
        <w:numPr>
          <w:ilvl w:val="0"/>
          <w:numId w:val="10"/>
        </w:numPr>
        <w:tabs>
          <w:tab w:val="clear" w:pos="0"/>
        </w:tabs>
        <w:ind w:left="850"/>
      </w:pPr>
      <w:r w:rsidRPr="00CA367D">
        <w:t>The EESC will pay s</w:t>
      </w:r>
      <w:r w:rsidR="00D57D47" w:rsidRPr="00CA367D">
        <w:t xml:space="preserve">pecific attention to the taxation of the </w:t>
      </w:r>
      <w:r w:rsidRPr="00CA367D">
        <w:t xml:space="preserve">collaborative </w:t>
      </w:r>
      <w:r w:rsidR="00D57D47" w:rsidRPr="00CA367D">
        <w:t>economy to guarantee that all global and technology-based companies pay their fair share of tax in Europe.</w:t>
      </w:r>
    </w:p>
    <w:p w:rsidR="005764C8" w:rsidRPr="00CA367D" w:rsidRDefault="005764C8" w:rsidP="00A619C4">
      <w:pPr>
        <w:pStyle w:val="ListParagraph"/>
        <w:numPr>
          <w:ilvl w:val="0"/>
          <w:numId w:val="10"/>
        </w:numPr>
        <w:tabs>
          <w:tab w:val="clear" w:pos="0"/>
        </w:tabs>
        <w:ind w:left="850"/>
      </w:pPr>
      <w:r w:rsidRPr="00CA367D">
        <w:t xml:space="preserve">The relaunch of the </w:t>
      </w:r>
      <w:r w:rsidRPr="00A619C4">
        <w:rPr>
          <w:b/>
        </w:rPr>
        <w:t>common consolidated corporate tax base</w:t>
      </w:r>
      <w:r w:rsidRPr="00CA367D">
        <w:t xml:space="preserve"> (</w:t>
      </w:r>
      <w:proofErr w:type="spellStart"/>
      <w:r w:rsidRPr="00CA367D">
        <w:t>CCCTB</w:t>
      </w:r>
      <w:proofErr w:type="spellEnd"/>
      <w:r w:rsidRPr="00CA367D">
        <w:t xml:space="preserve">), </w:t>
      </w:r>
      <w:r w:rsidRPr="00A619C4">
        <w:rPr>
          <w:b/>
        </w:rPr>
        <w:t>taxing profits at the place they are made</w:t>
      </w:r>
      <w:r w:rsidRPr="00CA367D">
        <w:t xml:space="preserve">, an improved </w:t>
      </w:r>
      <w:r w:rsidRPr="00A619C4">
        <w:rPr>
          <w:b/>
        </w:rPr>
        <w:t>business environment</w:t>
      </w:r>
      <w:r w:rsidRPr="00CA367D">
        <w:t xml:space="preserve">, greater tax transparency and </w:t>
      </w:r>
      <w:r w:rsidRPr="00A619C4">
        <w:rPr>
          <w:b/>
        </w:rPr>
        <w:t>better coordination within the EU</w:t>
      </w:r>
      <w:r w:rsidRPr="00CA367D">
        <w:t xml:space="preserve"> are the main topics that the ECO Section will prioritise through its work on taxation</w:t>
      </w:r>
      <w:r w:rsidR="002B04CE" w:rsidRPr="00CA367D">
        <w:t xml:space="preserve"> taking into account also the additional difficulties caused by Brexit.</w:t>
      </w:r>
    </w:p>
    <w:p w:rsidR="005764C8" w:rsidRPr="00CA367D" w:rsidRDefault="00CE4A51" w:rsidP="00A619C4">
      <w:pPr>
        <w:pStyle w:val="ListParagraph"/>
        <w:numPr>
          <w:ilvl w:val="0"/>
          <w:numId w:val="10"/>
        </w:numPr>
        <w:tabs>
          <w:tab w:val="clear" w:pos="0"/>
        </w:tabs>
        <w:ind w:left="850"/>
      </w:pPr>
      <w:r w:rsidRPr="00CA367D">
        <w:t xml:space="preserve">The EESC </w:t>
      </w:r>
      <w:r w:rsidR="00D80FF0" w:rsidRPr="00CA367D">
        <w:t xml:space="preserve">will </w:t>
      </w:r>
      <w:r w:rsidR="00D57D47" w:rsidRPr="00CA367D">
        <w:t xml:space="preserve">also </w:t>
      </w:r>
      <w:r w:rsidR="00D80FF0" w:rsidRPr="00CA367D">
        <w:t xml:space="preserve">continue to work </w:t>
      </w:r>
      <w:r w:rsidRPr="00CA367D">
        <w:t xml:space="preserve">on the EU VAT rate structure </w:t>
      </w:r>
      <w:r w:rsidR="00601E79" w:rsidRPr="00CA367D">
        <w:t>with a</w:t>
      </w:r>
      <w:r w:rsidR="00834DF6" w:rsidRPr="00CA367D">
        <w:t xml:space="preserve"> view to advanc</w:t>
      </w:r>
      <w:r w:rsidR="00601E79" w:rsidRPr="00CA367D">
        <w:t>ing</w:t>
      </w:r>
      <w:r w:rsidR="00834DF6" w:rsidRPr="00CA367D">
        <w:t xml:space="preserve"> towards a definitive VAT regime</w:t>
      </w:r>
      <w:r w:rsidR="00C05635" w:rsidRPr="00CA367D">
        <w:t xml:space="preserve">. </w:t>
      </w:r>
    </w:p>
    <w:p w:rsidR="00F62E0F" w:rsidRPr="00CA367D" w:rsidRDefault="00F62E0F"/>
    <w:p w:rsidR="00BF3A32" w:rsidRPr="00CA367D" w:rsidRDefault="00BF3A32" w:rsidP="008059E7">
      <w:pPr>
        <w:pStyle w:val="Heading1"/>
        <w:keepNext/>
        <w:keepLines/>
      </w:pPr>
      <w:r w:rsidRPr="00CA367D">
        <w:rPr>
          <w:b/>
        </w:rPr>
        <w:t xml:space="preserve">EU Budget and own </w:t>
      </w:r>
      <w:r w:rsidR="00A735CC" w:rsidRPr="00CA367D">
        <w:rPr>
          <w:b/>
        </w:rPr>
        <w:t>resources</w:t>
      </w:r>
    </w:p>
    <w:p w:rsidR="001E5427" w:rsidRPr="00CA367D" w:rsidRDefault="001E5427" w:rsidP="008059E7">
      <w:pPr>
        <w:keepNext/>
        <w:keepLines/>
      </w:pPr>
    </w:p>
    <w:p w:rsidR="001D78CE" w:rsidRPr="00CA367D" w:rsidRDefault="001D78CE" w:rsidP="00A619C4">
      <w:pPr>
        <w:pStyle w:val="ListParagraph"/>
        <w:numPr>
          <w:ilvl w:val="0"/>
          <w:numId w:val="11"/>
        </w:numPr>
        <w:tabs>
          <w:tab w:val="clear" w:pos="0"/>
        </w:tabs>
        <w:ind w:left="850"/>
      </w:pPr>
      <w:r w:rsidRPr="00CA367D">
        <w:t>The EU has to be given the wherewithal to pursue its strategic priorities without increasing the fiscal burden on the public and businesses.</w:t>
      </w:r>
    </w:p>
    <w:p w:rsidR="001D78CE" w:rsidRPr="00CA367D" w:rsidRDefault="001D78CE" w:rsidP="00A619C4">
      <w:pPr>
        <w:pStyle w:val="ListParagraph"/>
        <w:numPr>
          <w:ilvl w:val="0"/>
          <w:numId w:val="11"/>
        </w:numPr>
        <w:tabs>
          <w:tab w:val="clear" w:pos="0"/>
        </w:tabs>
        <w:ind w:left="850"/>
      </w:pPr>
      <w:r w:rsidRPr="00CA367D">
        <w:t>The EU Budget must be increasingly geared to results and should have a leverage effect and achieve</w:t>
      </w:r>
      <w:r w:rsidR="00626D66" w:rsidRPr="00CA367D">
        <w:t>,</w:t>
      </w:r>
      <w:r w:rsidRPr="00CA367D">
        <w:t xml:space="preserve"> among</w:t>
      </w:r>
      <w:r w:rsidR="00626D66" w:rsidRPr="00CA367D">
        <w:t>st</w:t>
      </w:r>
      <w:r w:rsidRPr="00CA367D">
        <w:t xml:space="preserve"> other</w:t>
      </w:r>
      <w:r w:rsidR="00626D66" w:rsidRPr="00CA367D">
        <w:t xml:space="preserve"> things,</w:t>
      </w:r>
      <w:r w:rsidRPr="00CA367D">
        <w:t xml:space="preserve"> complementarity and economies of scale</w:t>
      </w:r>
      <w:r w:rsidR="006F114E" w:rsidRPr="00CA367D">
        <w:t>.</w:t>
      </w:r>
    </w:p>
    <w:p w:rsidR="001D78CE" w:rsidRPr="00CA367D" w:rsidRDefault="001E5427" w:rsidP="00A619C4">
      <w:pPr>
        <w:pStyle w:val="ListParagraph"/>
        <w:numPr>
          <w:ilvl w:val="0"/>
          <w:numId w:val="11"/>
        </w:numPr>
        <w:tabs>
          <w:tab w:val="clear" w:pos="0"/>
        </w:tabs>
        <w:ind w:left="850"/>
      </w:pPr>
      <w:r w:rsidRPr="00CA367D">
        <w:t xml:space="preserve">The </w:t>
      </w:r>
      <w:r w:rsidR="006138B8" w:rsidRPr="00CA367D">
        <w:t xml:space="preserve">EESC considers that the </w:t>
      </w:r>
      <w:r w:rsidR="00F2465C" w:rsidRPr="00CA367D">
        <w:t>next</w:t>
      </w:r>
      <w:r w:rsidRPr="00CA367D">
        <w:t xml:space="preserve"> </w:t>
      </w:r>
      <w:r w:rsidRPr="00CA367D">
        <w:rPr>
          <w:b/>
        </w:rPr>
        <w:t>Multiannual Financial Framework</w:t>
      </w:r>
      <w:r w:rsidR="00F2465C" w:rsidRPr="00CA367D">
        <w:t xml:space="preserve"> </w:t>
      </w:r>
      <w:r w:rsidR="004257C3" w:rsidRPr="00CA367D">
        <w:t>(</w:t>
      </w:r>
      <w:proofErr w:type="spellStart"/>
      <w:r w:rsidR="004257C3" w:rsidRPr="00CA367D">
        <w:t>MFF</w:t>
      </w:r>
      <w:proofErr w:type="spellEnd"/>
      <w:r w:rsidR="004257C3" w:rsidRPr="00CA367D">
        <w:t xml:space="preserve">) </w:t>
      </w:r>
      <w:r w:rsidR="00E92589" w:rsidRPr="00CA367D">
        <w:t>covering</w:t>
      </w:r>
      <w:r w:rsidR="00805970" w:rsidRPr="00CA367D">
        <w:t xml:space="preserve"> the period </w:t>
      </w:r>
      <w:r w:rsidR="00F2465C" w:rsidRPr="00CA367D">
        <w:rPr>
          <w:b/>
        </w:rPr>
        <w:t>after 2021</w:t>
      </w:r>
      <w:r w:rsidRPr="00CA367D">
        <w:t xml:space="preserve"> should be used to orient the EU budget further towards jobs, growth and competitiveness</w:t>
      </w:r>
      <w:r w:rsidR="00507564" w:rsidRPr="00CA367D">
        <w:t xml:space="preserve">. </w:t>
      </w:r>
    </w:p>
    <w:p w:rsidR="00507564" w:rsidRPr="00CA367D" w:rsidRDefault="006138B8" w:rsidP="00A619C4">
      <w:pPr>
        <w:pStyle w:val="ListParagraph"/>
        <w:numPr>
          <w:ilvl w:val="0"/>
          <w:numId w:val="11"/>
        </w:numPr>
        <w:tabs>
          <w:tab w:val="clear" w:pos="0"/>
        </w:tabs>
        <w:ind w:left="850"/>
      </w:pPr>
      <w:r w:rsidRPr="00CA367D">
        <w:t xml:space="preserve">Resources should be directed towards programmes that can relaunch economic, social and environmental development, employment, innovation and competitiveness on the one hand, and respond to the migration and refugee crisis, to internal security issues, external emergencies and the crisis in the agricultural sector on the other hand. </w:t>
      </w:r>
    </w:p>
    <w:p w:rsidR="004C5BAD" w:rsidRPr="00CA367D" w:rsidRDefault="005C68A7" w:rsidP="00A619C4">
      <w:pPr>
        <w:pStyle w:val="ListParagraph"/>
        <w:numPr>
          <w:ilvl w:val="0"/>
          <w:numId w:val="11"/>
        </w:numPr>
        <w:tabs>
          <w:tab w:val="clear" w:pos="0"/>
        </w:tabs>
        <w:ind w:left="850"/>
      </w:pPr>
      <w:r w:rsidRPr="00CA367D">
        <w:rPr>
          <w:b/>
        </w:rPr>
        <w:t>The departure of the United Kingdom</w:t>
      </w:r>
      <w:r w:rsidRPr="00CA367D">
        <w:t xml:space="preserve"> will be a major factor in the design of the EU Budget beyond 2025</w:t>
      </w:r>
      <w:r w:rsidR="005D15F1" w:rsidRPr="00CA367D">
        <w:t>, in terms of</w:t>
      </w:r>
      <w:r w:rsidRPr="00CA367D">
        <w:t xml:space="preserve"> net-balances</w:t>
      </w:r>
      <w:r w:rsidR="005D15F1" w:rsidRPr="00CA367D">
        <w:t xml:space="preserve"> and</w:t>
      </w:r>
      <w:r w:rsidRPr="00CA367D">
        <w:t xml:space="preserve"> </w:t>
      </w:r>
      <w:r w:rsidR="00626D66" w:rsidRPr="00CA367D">
        <w:t xml:space="preserve">in </w:t>
      </w:r>
      <w:r w:rsidRPr="00CA367D">
        <w:t>how EU policy and its priorities will develop.</w:t>
      </w:r>
      <w:r w:rsidR="00165FAA" w:rsidRPr="00CA367D">
        <w:t xml:space="preserve"> </w:t>
      </w:r>
    </w:p>
    <w:p w:rsidR="00BF3A32" w:rsidRPr="00CA367D" w:rsidRDefault="00BF3A32"/>
    <w:p w:rsidR="00996CF4" w:rsidRPr="00CA367D" w:rsidRDefault="00996CF4" w:rsidP="00FA51BF">
      <w:pPr>
        <w:pStyle w:val="Heading1"/>
        <w:keepNext/>
        <w:keepLines/>
      </w:pPr>
      <w:r w:rsidRPr="00CA367D">
        <w:rPr>
          <w:b/>
        </w:rPr>
        <w:t>Cohesion and urban policy</w:t>
      </w:r>
    </w:p>
    <w:p w:rsidR="00996CF4" w:rsidRPr="00CA367D" w:rsidRDefault="00996CF4" w:rsidP="00FA51BF">
      <w:pPr>
        <w:keepNext/>
        <w:keepLines/>
      </w:pPr>
    </w:p>
    <w:p w:rsidR="00996CF4" w:rsidRPr="00CA367D" w:rsidRDefault="003531D4" w:rsidP="00A619C4">
      <w:pPr>
        <w:pStyle w:val="ListParagraph"/>
        <w:numPr>
          <w:ilvl w:val="0"/>
          <w:numId w:val="12"/>
        </w:numPr>
        <w:tabs>
          <w:tab w:val="clear" w:pos="0"/>
        </w:tabs>
        <w:ind w:left="850"/>
      </w:pPr>
      <w:r w:rsidRPr="00CA367D">
        <w:t>T</w:t>
      </w:r>
      <w:r w:rsidR="00996CF4" w:rsidRPr="00CA367D">
        <w:t xml:space="preserve">he EESC strongly believes that </w:t>
      </w:r>
      <w:r w:rsidRPr="00CA367D">
        <w:t xml:space="preserve">a </w:t>
      </w:r>
      <w:r w:rsidR="00996CF4" w:rsidRPr="00CA367D">
        <w:rPr>
          <w:b/>
        </w:rPr>
        <w:t>genuine and profound partnership</w:t>
      </w:r>
      <w:r w:rsidR="00996CF4" w:rsidRPr="00CA367D">
        <w:t xml:space="preserve"> greatly improves the effectiveness and overall success of the </w:t>
      </w:r>
      <w:r w:rsidR="00996CF4" w:rsidRPr="00CA367D">
        <w:rPr>
          <w:b/>
        </w:rPr>
        <w:t>EU's cohesion policy</w:t>
      </w:r>
      <w:r w:rsidR="00996CF4" w:rsidRPr="00CA367D">
        <w:t>.</w:t>
      </w:r>
    </w:p>
    <w:p w:rsidR="009643DA" w:rsidRPr="00CA367D" w:rsidRDefault="00F61185" w:rsidP="00A619C4">
      <w:pPr>
        <w:pStyle w:val="ListParagraph"/>
        <w:numPr>
          <w:ilvl w:val="0"/>
          <w:numId w:val="12"/>
        </w:numPr>
        <w:tabs>
          <w:tab w:val="clear" w:pos="0"/>
        </w:tabs>
        <w:ind w:left="850"/>
      </w:pPr>
      <w:r w:rsidRPr="00CA367D">
        <w:t>A</w:t>
      </w:r>
      <w:r w:rsidR="009643DA" w:rsidRPr="00CA367D">
        <w:t xml:space="preserve"> </w:t>
      </w:r>
      <w:r w:rsidR="009643DA" w:rsidRPr="00A619C4">
        <w:rPr>
          <w:b/>
        </w:rPr>
        <w:t>simple, accessible strategy and objectives</w:t>
      </w:r>
      <w:r w:rsidR="009643DA" w:rsidRPr="00CA367D">
        <w:t xml:space="preserve"> and a single, long-term project for Europe are vital (EU 2030-50 strategy) and </w:t>
      </w:r>
      <w:r w:rsidR="00A0520D" w:rsidRPr="00CA367D">
        <w:t xml:space="preserve">the </w:t>
      </w:r>
      <w:r w:rsidR="009643DA" w:rsidRPr="00CA367D">
        <w:t xml:space="preserve">legal and </w:t>
      </w:r>
      <w:r w:rsidR="009643DA" w:rsidRPr="00A619C4">
        <w:rPr>
          <w:b/>
        </w:rPr>
        <w:t>financial instruments</w:t>
      </w:r>
      <w:r w:rsidR="009643DA" w:rsidRPr="00CA367D">
        <w:t xml:space="preserve"> (in particular the European Structural and Investment Funds as well as the European Fund for Strategic Investment) must be consolidated in order to </w:t>
      </w:r>
      <w:r w:rsidR="0026371B" w:rsidRPr="00CA367D">
        <w:t>ensure</w:t>
      </w:r>
      <w:r w:rsidR="009643DA" w:rsidRPr="00CA367D">
        <w:t xml:space="preserve"> a </w:t>
      </w:r>
      <w:r w:rsidR="009643DA" w:rsidRPr="00CA367D">
        <w:rPr>
          <w:b/>
        </w:rPr>
        <w:t>strong central, development-oriented governance</w:t>
      </w:r>
      <w:r w:rsidR="009643DA" w:rsidRPr="00CA367D">
        <w:t>.</w:t>
      </w:r>
    </w:p>
    <w:p w:rsidR="00996CF4" w:rsidRPr="00CA367D" w:rsidRDefault="00427A19" w:rsidP="00A619C4">
      <w:pPr>
        <w:pStyle w:val="ListParagraph"/>
        <w:numPr>
          <w:ilvl w:val="0"/>
          <w:numId w:val="12"/>
        </w:numPr>
        <w:tabs>
          <w:tab w:val="clear" w:pos="0"/>
        </w:tabs>
        <w:ind w:left="850"/>
      </w:pPr>
      <w:r w:rsidRPr="00CA367D">
        <w:t>T</w:t>
      </w:r>
      <w:r w:rsidR="00993521" w:rsidRPr="00CA367D">
        <w:t xml:space="preserve">he EESC </w:t>
      </w:r>
      <w:r w:rsidR="009643DA" w:rsidRPr="00CA367D">
        <w:t xml:space="preserve">supports the implementation </w:t>
      </w:r>
      <w:r w:rsidR="00C751AD" w:rsidRPr="00CA367D">
        <w:t xml:space="preserve">of </w:t>
      </w:r>
      <w:r w:rsidR="00993521" w:rsidRPr="00CA367D">
        <w:t xml:space="preserve">the EU </w:t>
      </w:r>
      <w:r w:rsidR="00993521" w:rsidRPr="00A619C4">
        <w:rPr>
          <w:b/>
        </w:rPr>
        <w:t>Urban Agenda</w:t>
      </w:r>
      <w:r w:rsidR="00993521" w:rsidRPr="00CA367D">
        <w:t xml:space="preserve"> and </w:t>
      </w:r>
      <w:r w:rsidR="00996CF4" w:rsidRPr="00CA367D">
        <w:t xml:space="preserve">will continue its mission in which the underutilised potential of European cities </w:t>
      </w:r>
      <w:r w:rsidR="0026371B" w:rsidRPr="00CA367D">
        <w:t>is</w:t>
      </w:r>
      <w:r w:rsidR="00996CF4" w:rsidRPr="00CA367D">
        <w:t xml:space="preserve"> exploited.</w:t>
      </w:r>
      <w:r w:rsidR="00580283" w:rsidRPr="00CA367D">
        <w:t xml:space="preserve"> </w:t>
      </w:r>
    </w:p>
    <w:p w:rsidR="009A7436" w:rsidRPr="00CA367D" w:rsidRDefault="00427A19" w:rsidP="00996CF4">
      <w:pPr>
        <w:pStyle w:val="ListParagraph"/>
        <w:numPr>
          <w:ilvl w:val="0"/>
          <w:numId w:val="12"/>
        </w:numPr>
        <w:tabs>
          <w:tab w:val="clear" w:pos="0"/>
        </w:tabs>
        <w:ind w:left="850"/>
      </w:pPr>
      <w:r w:rsidRPr="00CA367D">
        <w:t xml:space="preserve">The EESC </w:t>
      </w:r>
      <w:r w:rsidR="00996CF4" w:rsidRPr="00CA367D">
        <w:t xml:space="preserve">will continue stressing the </w:t>
      </w:r>
      <w:r w:rsidR="00996CF4" w:rsidRPr="007831A2">
        <w:rPr>
          <w:b/>
        </w:rPr>
        <w:t xml:space="preserve">importance </w:t>
      </w:r>
      <w:r w:rsidR="0026371B" w:rsidRPr="007831A2">
        <w:rPr>
          <w:b/>
        </w:rPr>
        <w:t>of</w:t>
      </w:r>
      <w:r w:rsidR="00996CF4" w:rsidRPr="007831A2">
        <w:rPr>
          <w:b/>
        </w:rPr>
        <w:t xml:space="preserve"> the macro-regional strategies</w:t>
      </w:r>
      <w:r w:rsidR="00996CF4" w:rsidRPr="00CA367D">
        <w:t xml:space="preserve"> </w:t>
      </w:r>
      <w:r w:rsidR="0026371B" w:rsidRPr="00CA367D">
        <w:t>having</w:t>
      </w:r>
      <w:r w:rsidR="00996CF4" w:rsidRPr="00CA367D">
        <w:t xml:space="preserve"> an increasing role to play in the future of the EU.</w:t>
      </w:r>
    </w:p>
    <w:p w:rsidR="00996CF4" w:rsidRPr="00CA367D" w:rsidRDefault="009A7436" w:rsidP="00442EED">
      <w:pPr>
        <w:jc w:val="center"/>
      </w:pPr>
      <w:r w:rsidRPr="00CA367D">
        <w:t>______________</w:t>
      </w:r>
    </w:p>
    <w:sectPr w:rsidR="00996CF4" w:rsidRPr="00CA367D" w:rsidSect="007831A2">
      <w:headerReference w:type="even" r:id="rId13"/>
      <w:headerReference w:type="default" r:id="rId14"/>
      <w:footerReference w:type="even" r:id="rId15"/>
      <w:footerReference w:type="default" r:id="rId16"/>
      <w:headerReference w:type="first" r:id="rId17"/>
      <w:footerReference w:type="first" r:id="rId18"/>
      <w:pgSz w:w="11907" w:h="16839" w:code="9"/>
      <w:pgMar w:top="993" w:right="1417" w:bottom="1276"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AF" w:rsidRDefault="003F40AF" w:rsidP="003A4A36">
      <w:pPr>
        <w:spacing w:line="240" w:lineRule="auto"/>
      </w:pPr>
      <w:r>
        <w:separator/>
      </w:r>
    </w:p>
  </w:endnote>
  <w:endnote w:type="continuationSeparator" w:id="0">
    <w:p w:rsidR="003F40AF" w:rsidRDefault="003F40AF" w:rsidP="003A4A36">
      <w:pPr>
        <w:spacing w:line="240" w:lineRule="auto"/>
      </w:pPr>
      <w:r>
        <w:continuationSeparator/>
      </w:r>
    </w:p>
  </w:endnote>
  <w:endnote w:type="continuationNotice" w:id="1">
    <w:p w:rsidR="003F40AF" w:rsidRDefault="003F4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7D" w:rsidRPr="00CA367D" w:rsidRDefault="00CA367D" w:rsidP="00CA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E1" w:rsidRPr="00CA367D" w:rsidRDefault="00CA367D" w:rsidP="00CA367D">
    <w:pPr>
      <w:pStyle w:val="Footer"/>
    </w:pPr>
    <w:r>
      <w:t xml:space="preserve">EESC-2015-06052-01-00-TCD-TRA (EN) </w:t>
    </w:r>
    <w:r>
      <w:fldChar w:fldCharType="begin"/>
    </w:r>
    <w:r>
      <w:instrText xml:space="preserve"> PAGE  \* Arabic  \* MERGEFORMAT </w:instrText>
    </w:r>
    <w:r>
      <w:fldChar w:fldCharType="separate"/>
    </w:r>
    <w:r w:rsidR="00E37A5B">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E37A5B">
      <w:rPr>
        <w:noProof/>
      </w:rPr>
      <w:instrText>2</w:instrText>
    </w:r>
    <w:r>
      <w:fldChar w:fldCharType="end"/>
    </w:r>
    <w:r>
      <w:instrText xml:space="preserve"> -0 </w:instrText>
    </w:r>
    <w:r>
      <w:fldChar w:fldCharType="separate"/>
    </w:r>
    <w:r w:rsidR="00E37A5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7D" w:rsidRPr="00CA367D" w:rsidRDefault="00CA367D" w:rsidP="00CA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AF" w:rsidRDefault="003F40AF" w:rsidP="003A4A36">
      <w:pPr>
        <w:spacing w:line="240" w:lineRule="auto"/>
      </w:pPr>
      <w:r>
        <w:separator/>
      </w:r>
    </w:p>
  </w:footnote>
  <w:footnote w:type="continuationSeparator" w:id="0">
    <w:p w:rsidR="003F40AF" w:rsidRDefault="003F40AF" w:rsidP="003A4A36">
      <w:pPr>
        <w:spacing w:line="240" w:lineRule="auto"/>
      </w:pPr>
      <w:r>
        <w:continuationSeparator/>
      </w:r>
    </w:p>
  </w:footnote>
  <w:footnote w:type="continuationNotice" w:id="1">
    <w:p w:rsidR="003F40AF" w:rsidRDefault="003F40A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7D" w:rsidRPr="00CA367D" w:rsidRDefault="00CA367D" w:rsidP="00CA3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7D" w:rsidRPr="00CA367D" w:rsidRDefault="00CA367D" w:rsidP="00CA3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7D" w:rsidRPr="00CA367D" w:rsidRDefault="00CA367D" w:rsidP="00CA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096392"/>
    <w:multiLevelType w:val="hybridMultilevel"/>
    <w:tmpl w:val="4588F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899189F"/>
    <w:multiLevelType w:val="hybridMultilevel"/>
    <w:tmpl w:val="A8F2E550"/>
    <w:lvl w:ilvl="0" w:tplc="9034A7C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28114E"/>
    <w:multiLevelType w:val="hybridMultilevel"/>
    <w:tmpl w:val="1E169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1E5947"/>
    <w:multiLevelType w:val="hybridMultilevel"/>
    <w:tmpl w:val="F51CE4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EB5A63"/>
    <w:multiLevelType w:val="hybridMultilevel"/>
    <w:tmpl w:val="A35A5496"/>
    <w:lvl w:ilvl="0" w:tplc="31B8CD1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424566"/>
    <w:multiLevelType w:val="hybridMultilevel"/>
    <w:tmpl w:val="34DEB6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DDE77A1"/>
    <w:multiLevelType w:val="hybridMultilevel"/>
    <w:tmpl w:val="D0B07D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2F4841"/>
    <w:multiLevelType w:val="hybridMultilevel"/>
    <w:tmpl w:val="3B0C9CC8"/>
    <w:lvl w:ilvl="0" w:tplc="EEB669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3514907"/>
    <w:multiLevelType w:val="hybridMultilevel"/>
    <w:tmpl w:val="A9CC7CCC"/>
    <w:lvl w:ilvl="0" w:tplc="F816191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125218"/>
    <w:multiLevelType w:val="hybridMultilevel"/>
    <w:tmpl w:val="3F20346C"/>
    <w:lvl w:ilvl="0" w:tplc="9880DFC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FB76719"/>
    <w:multiLevelType w:val="hybridMultilevel"/>
    <w:tmpl w:val="194CD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3"/>
  </w:num>
  <w:num w:numId="5">
    <w:abstractNumId w:val="7"/>
  </w:num>
  <w:num w:numId="6">
    <w:abstractNumId w:val="6"/>
  </w:num>
  <w:num w:numId="7">
    <w:abstractNumId w:val="1"/>
  </w:num>
  <w:num w:numId="8">
    <w:abstractNumId w:val="2"/>
  </w:num>
  <w:num w:numId="9">
    <w:abstractNumId w:val="9"/>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7"/>
    <w:rsid w:val="000011B3"/>
    <w:rsid w:val="00002F5D"/>
    <w:rsid w:val="00023422"/>
    <w:rsid w:val="00037166"/>
    <w:rsid w:val="00045531"/>
    <w:rsid w:val="00053993"/>
    <w:rsid w:val="000865DF"/>
    <w:rsid w:val="000906E1"/>
    <w:rsid w:val="000969C6"/>
    <w:rsid w:val="000A14DC"/>
    <w:rsid w:val="000B39B7"/>
    <w:rsid w:val="000C246E"/>
    <w:rsid w:val="000C4570"/>
    <w:rsid w:val="000D6692"/>
    <w:rsid w:val="000E6728"/>
    <w:rsid w:val="000F515D"/>
    <w:rsid w:val="00113D34"/>
    <w:rsid w:val="00131EA6"/>
    <w:rsid w:val="00162913"/>
    <w:rsid w:val="00165FAA"/>
    <w:rsid w:val="00167E8B"/>
    <w:rsid w:val="0017198F"/>
    <w:rsid w:val="00172608"/>
    <w:rsid w:val="0018099C"/>
    <w:rsid w:val="001B5EE1"/>
    <w:rsid w:val="001D3438"/>
    <w:rsid w:val="001D5BE8"/>
    <w:rsid w:val="001D78CE"/>
    <w:rsid w:val="001E5427"/>
    <w:rsid w:val="001F0DF1"/>
    <w:rsid w:val="002101C6"/>
    <w:rsid w:val="00210C3D"/>
    <w:rsid w:val="00214B05"/>
    <w:rsid w:val="0023280A"/>
    <w:rsid w:val="00232E5B"/>
    <w:rsid w:val="0024459B"/>
    <w:rsid w:val="0026371B"/>
    <w:rsid w:val="00265EA1"/>
    <w:rsid w:val="002A1C19"/>
    <w:rsid w:val="002A308D"/>
    <w:rsid w:val="002B04CE"/>
    <w:rsid w:val="002C69DB"/>
    <w:rsid w:val="002D29C0"/>
    <w:rsid w:val="002E451A"/>
    <w:rsid w:val="002E565F"/>
    <w:rsid w:val="00320896"/>
    <w:rsid w:val="00324633"/>
    <w:rsid w:val="00324A65"/>
    <w:rsid w:val="003275C4"/>
    <w:rsid w:val="00342BC4"/>
    <w:rsid w:val="003504DB"/>
    <w:rsid w:val="003531D4"/>
    <w:rsid w:val="00356CC6"/>
    <w:rsid w:val="003661E5"/>
    <w:rsid w:val="003826FD"/>
    <w:rsid w:val="00397052"/>
    <w:rsid w:val="003A4A36"/>
    <w:rsid w:val="003C4759"/>
    <w:rsid w:val="003F40AF"/>
    <w:rsid w:val="00402A42"/>
    <w:rsid w:val="004068D4"/>
    <w:rsid w:val="004257C3"/>
    <w:rsid w:val="00427A19"/>
    <w:rsid w:val="00442EED"/>
    <w:rsid w:val="00443E9E"/>
    <w:rsid w:val="00450A72"/>
    <w:rsid w:val="00484F16"/>
    <w:rsid w:val="00486EF2"/>
    <w:rsid w:val="00496201"/>
    <w:rsid w:val="004B69D6"/>
    <w:rsid w:val="004C19FE"/>
    <w:rsid w:val="004C5BAD"/>
    <w:rsid w:val="004D3BA8"/>
    <w:rsid w:val="00500266"/>
    <w:rsid w:val="00507564"/>
    <w:rsid w:val="0051442E"/>
    <w:rsid w:val="00517708"/>
    <w:rsid w:val="00520758"/>
    <w:rsid w:val="0057085A"/>
    <w:rsid w:val="00571F96"/>
    <w:rsid w:val="005764C8"/>
    <w:rsid w:val="00580283"/>
    <w:rsid w:val="005A05D7"/>
    <w:rsid w:val="005C68A7"/>
    <w:rsid w:val="005D15F1"/>
    <w:rsid w:val="005E6B3D"/>
    <w:rsid w:val="005F0781"/>
    <w:rsid w:val="00601E79"/>
    <w:rsid w:val="006138B8"/>
    <w:rsid w:val="0061702D"/>
    <w:rsid w:val="00622D51"/>
    <w:rsid w:val="00626D66"/>
    <w:rsid w:val="00631D15"/>
    <w:rsid w:val="0063481B"/>
    <w:rsid w:val="00647E57"/>
    <w:rsid w:val="00652BC4"/>
    <w:rsid w:val="00660AE7"/>
    <w:rsid w:val="00675EF4"/>
    <w:rsid w:val="006A3D1C"/>
    <w:rsid w:val="006A6281"/>
    <w:rsid w:val="006B79EB"/>
    <w:rsid w:val="006C2A78"/>
    <w:rsid w:val="006D17EA"/>
    <w:rsid w:val="006E2C08"/>
    <w:rsid w:val="006F114E"/>
    <w:rsid w:val="006F63E8"/>
    <w:rsid w:val="007003FD"/>
    <w:rsid w:val="0074389F"/>
    <w:rsid w:val="0074477B"/>
    <w:rsid w:val="007519E9"/>
    <w:rsid w:val="00772922"/>
    <w:rsid w:val="007831A2"/>
    <w:rsid w:val="007B5D01"/>
    <w:rsid w:val="007D00FB"/>
    <w:rsid w:val="007D4E5D"/>
    <w:rsid w:val="007D71A2"/>
    <w:rsid w:val="007F10C3"/>
    <w:rsid w:val="00805970"/>
    <w:rsid w:val="008059E7"/>
    <w:rsid w:val="0081411E"/>
    <w:rsid w:val="00834DF6"/>
    <w:rsid w:val="00862A3E"/>
    <w:rsid w:val="008A152E"/>
    <w:rsid w:val="008B0A0A"/>
    <w:rsid w:val="008C0DB6"/>
    <w:rsid w:val="008C49E4"/>
    <w:rsid w:val="008C5853"/>
    <w:rsid w:val="008E2B8C"/>
    <w:rsid w:val="008E361D"/>
    <w:rsid w:val="008E504A"/>
    <w:rsid w:val="008F49B5"/>
    <w:rsid w:val="009416D5"/>
    <w:rsid w:val="00942719"/>
    <w:rsid w:val="00962C7E"/>
    <w:rsid w:val="009643DA"/>
    <w:rsid w:val="009746DF"/>
    <w:rsid w:val="00976446"/>
    <w:rsid w:val="00993521"/>
    <w:rsid w:val="00996CF4"/>
    <w:rsid w:val="009A7436"/>
    <w:rsid w:val="009D2FA5"/>
    <w:rsid w:val="009E2552"/>
    <w:rsid w:val="009E5B57"/>
    <w:rsid w:val="009E7BB1"/>
    <w:rsid w:val="009F31BD"/>
    <w:rsid w:val="009F39CD"/>
    <w:rsid w:val="00A00B83"/>
    <w:rsid w:val="00A0520D"/>
    <w:rsid w:val="00A13FC3"/>
    <w:rsid w:val="00A217AE"/>
    <w:rsid w:val="00A25B9B"/>
    <w:rsid w:val="00A27E65"/>
    <w:rsid w:val="00A30499"/>
    <w:rsid w:val="00A310FD"/>
    <w:rsid w:val="00A311DF"/>
    <w:rsid w:val="00A47289"/>
    <w:rsid w:val="00A619C4"/>
    <w:rsid w:val="00A70DFB"/>
    <w:rsid w:val="00A735CC"/>
    <w:rsid w:val="00A750F6"/>
    <w:rsid w:val="00AB056F"/>
    <w:rsid w:val="00AB16C7"/>
    <w:rsid w:val="00AB4624"/>
    <w:rsid w:val="00AD47A6"/>
    <w:rsid w:val="00AD5CE6"/>
    <w:rsid w:val="00B224D1"/>
    <w:rsid w:val="00B26E48"/>
    <w:rsid w:val="00B31C61"/>
    <w:rsid w:val="00B52D92"/>
    <w:rsid w:val="00B651C7"/>
    <w:rsid w:val="00B6612F"/>
    <w:rsid w:val="00B67833"/>
    <w:rsid w:val="00B758DB"/>
    <w:rsid w:val="00B9724A"/>
    <w:rsid w:val="00BA19B7"/>
    <w:rsid w:val="00BC4664"/>
    <w:rsid w:val="00BD2185"/>
    <w:rsid w:val="00BF057C"/>
    <w:rsid w:val="00BF3A32"/>
    <w:rsid w:val="00C0518F"/>
    <w:rsid w:val="00C05635"/>
    <w:rsid w:val="00C07AE9"/>
    <w:rsid w:val="00C07D7D"/>
    <w:rsid w:val="00C14C3B"/>
    <w:rsid w:val="00C71259"/>
    <w:rsid w:val="00C74434"/>
    <w:rsid w:val="00C751AD"/>
    <w:rsid w:val="00C752FB"/>
    <w:rsid w:val="00CA367D"/>
    <w:rsid w:val="00CC22EE"/>
    <w:rsid w:val="00CC3DE7"/>
    <w:rsid w:val="00CD1D01"/>
    <w:rsid w:val="00CD79A5"/>
    <w:rsid w:val="00CE4A51"/>
    <w:rsid w:val="00D02687"/>
    <w:rsid w:val="00D156A7"/>
    <w:rsid w:val="00D228F9"/>
    <w:rsid w:val="00D433D1"/>
    <w:rsid w:val="00D57D47"/>
    <w:rsid w:val="00D652C2"/>
    <w:rsid w:val="00D66081"/>
    <w:rsid w:val="00D6725D"/>
    <w:rsid w:val="00D808F9"/>
    <w:rsid w:val="00D80FF0"/>
    <w:rsid w:val="00DB6CBA"/>
    <w:rsid w:val="00DC0FCD"/>
    <w:rsid w:val="00DD5E8F"/>
    <w:rsid w:val="00DF2462"/>
    <w:rsid w:val="00DF3F2C"/>
    <w:rsid w:val="00E3772B"/>
    <w:rsid w:val="00E37A5B"/>
    <w:rsid w:val="00E4019D"/>
    <w:rsid w:val="00E7495F"/>
    <w:rsid w:val="00E87A25"/>
    <w:rsid w:val="00E90E6A"/>
    <w:rsid w:val="00E92589"/>
    <w:rsid w:val="00E930B8"/>
    <w:rsid w:val="00E97641"/>
    <w:rsid w:val="00EA65D0"/>
    <w:rsid w:val="00ED7AC7"/>
    <w:rsid w:val="00EE6DDC"/>
    <w:rsid w:val="00EF1D69"/>
    <w:rsid w:val="00EF2BB7"/>
    <w:rsid w:val="00F10377"/>
    <w:rsid w:val="00F2465C"/>
    <w:rsid w:val="00F61185"/>
    <w:rsid w:val="00F62E0F"/>
    <w:rsid w:val="00FA51BF"/>
    <w:rsid w:val="00FB37D8"/>
    <w:rsid w:val="00FD3188"/>
    <w:rsid w:val="00FF047E"/>
    <w:rsid w:val="00FF30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7D"/>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CA367D"/>
    <w:pPr>
      <w:numPr>
        <w:numId w:val="1"/>
      </w:numPr>
      <w:ind w:left="567" w:hanging="567"/>
      <w:outlineLvl w:val="0"/>
    </w:pPr>
    <w:rPr>
      <w:kern w:val="28"/>
    </w:rPr>
  </w:style>
  <w:style w:type="paragraph" w:styleId="Heading2">
    <w:name w:val="heading 2"/>
    <w:basedOn w:val="Normal"/>
    <w:next w:val="Normal"/>
    <w:link w:val="Heading2Char"/>
    <w:qFormat/>
    <w:rsid w:val="00CA367D"/>
    <w:pPr>
      <w:numPr>
        <w:ilvl w:val="1"/>
        <w:numId w:val="1"/>
      </w:numPr>
      <w:ind w:left="567" w:hanging="567"/>
      <w:outlineLvl w:val="1"/>
    </w:pPr>
  </w:style>
  <w:style w:type="paragraph" w:styleId="Heading3">
    <w:name w:val="heading 3"/>
    <w:basedOn w:val="Normal"/>
    <w:next w:val="Normal"/>
    <w:link w:val="Heading3Char"/>
    <w:qFormat/>
    <w:rsid w:val="00CA367D"/>
    <w:pPr>
      <w:numPr>
        <w:ilvl w:val="2"/>
        <w:numId w:val="1"/>
      </w:numPr>
      <w:ind w:left="567" w:hanging="567"/>
      <w:outlineLvl w:val="2"/>
    </w:pPr>
  </w:style>
  <w:style w:type="paragraph" w:styleId="Heading4">
    <w:name w:val="heading 4"/>
    <w:basedOn w:val="Normal"/>
    <w:next w:val="Normal"/>
    <w:link w:val="Heading4Char"/>
    <w:qFormat/>
    <w:rsid w:val="00CA367D"/>
    <w:pPr>
      <w:numPr>
        <w:ilvl w:val="3"/>
        <w:numId w:val="1"/>
      </w:numPr>
      <w:ind w:left="567" w:hanging="567"/>
      <w:outlineLvl w:val="3"/>
    </w:pPr>
  </w:style>
  <w:style w:type="paragraph" w:styleId="Heading5">
    <w:name w:val="heading 5"/>
    <w:basedOn w:val="Normal"/>
    <w:next w:val="Normal"/>
    <w:link w:val="Heading5Char"/>
    <w:qFormat/>
    <w:rsid w:val="00CA367D"/>
    <w:pPr>
      <w:numPr>
        <w:ilvl w:val="4"/>
        <w:numId w:val="1"/>
      </w:numPr>
      <w:ind w:left="567" w:hanging="567"/>
      <w:outlineLvl w:val="4"/>
    </w:pPr>
  </w:style>
  <w:style w:type="paragraph" w:styleId="Heading6">
    <w:name w:val="heading 6"/>
    <w:basedOn w:val="Normal"/>
    <w:next w:val="Normal"/>
    <w:link w:val="Heading6Char"/>
    <w:qFormat/>
    <w:rsid w:val="00CA367D"/>
    <w:pPr>
      <w:numPr>
        <w:ilvl w:val="5"/>
        <w:numId w:val="1"/>
      </w:numPr>
      <w:ind w:left="567" w:hanging="567"/>
      <w:outlineLvl w:val="5"/>
    </w:pPr>
  </w:style>
  <w:style w:type="paragraph" w:styleId="Heading7">
    <w:name w:val="heading 7"/>
    <w:basedOn w:val="Normal"/>
    <w:next w:val="Normal"/>
    <w:link w:val="Heading7Char"/>
    <w:qFormat/>
    <w:rsid w:val="00CA367D"/>
    <w:pPr>
      <w:numPr>
        <w:ilvl w:val="6"/>
        <w:numId w:val="1"/>
      </w:numPr>
      <w:ind w:left="567" w:hanging="567"/>
      <w:outlineLvl w:val="6"/>
    </w:pPr>
  </w:style>
  <w:style w:type="paragraph" w:styleId="Heading8">
    <w:name w:val="heading 8"/>
    <w:basedOn w:val="Normal"/>
    <w:next w:val="Normal"/>
    <w:link w:val="Heading8Char"/>
    <w:qFormat/>
    <w:rsid w:val="00CA367D"/>
    <w:pPr>
      <w:numPr>
        <w:ilvl w:val="7"/>
        <w:numId w:val="1"/>
      </w:numPr>
      <w:ind w:left="567" w:hanging="567"/>
      <w:outlineLvl w:val="7"/>
    </w:pPr>
  </w:style>
  <w:style w:type="paragraph" w:styleId="Heading9">
    <w:name w:val="heading 9"/>
    <w:basedOn w:val="Normal"/>
    <w:next w:val="Normal"/>
    <w:link w:val="Heading9Char"/>
    <w:qFormat/>
    <w:rsid w:val="00CA367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B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F2BB7"/>
    <w:rPr>
      <w:rFonts w:ascii="Times New Roman" w:eastAsia="Times New Roman" w:hAnsi="Times New Roman" w:cs="Times New Roman"/>
      <w:lang w:val="en-US"/>
    </w:rPr>
  </w:style>
  <w:style w:type="character" w:customStyle="1" w:styleId="Heading3Char">
    <w:name w:val="Heading 3 Char"/>
    <w:basedOn w:val="DefaultParagraphFont"/>
    <w:link w:val="Heading3"/>
    <w:rsid w:val="00EF2BB7"/>
    <w:rPr>
      <w:rFonts w:ascii="Times New Roman" w:eastAsia="Times New Roman" w:hAnsi="Times New Roman" w:cs="Times New Roman"/>
      <w:lang w:val="en-US"/>
    </w:rPr>
  </w:style>
  <w:style w:type="character" w:customStyle="1" w:styleId="Heading4Char">
    <w:name w:val="Heading 4 Char"/>
    <w:basedOn w:val="DefaultParagraphFont"/>
    <w:link w:val="Heading4"/>
    <w:rsid w:val="00EF2BB7"/>
    <w:rPr>
      <w:rFonts w:ascii="Times New Roman" w:eastAsia="Times New Roman" w:hAnsi="Times New Roman" w:cs="Times New Roman"/>
      <w:lang w:val="en-US"/>
    </w:rPr>
  </w:style>
  <w:style w:type="character" w:customStyle="1" w:styleId="Heading5Char">
    <w:name w:val="Heading 5 Char"/>
    <w:basedOn w:val="DefaultParagraphFont"/>
    <w:link w:val="Heading5"/>
    <w:rsid w:val="00EF2BB7"/>
    <w:rPr>
      <w:rFonts w:ascii="Times New Roman" w:eastAsia="Times New Roman" w:hAnsi="Times New Roman" w:cs="Times New Roman"/>
      <w:lang w:val="en-US"/>
    </w:rPr>
  </w:style>
  <w:style w:type="character" w:customStyle="1" w:styleId="Heading6Char">
    <w:name w:val="Heading 6 Char"/>
    <w:basedOn w:val="DefaultParagraphFont"/>
    <w:link w:val="Heading6"/>
    <w:rsid w:val="00EF2BB7"/>
    <w:rPr>
      <w:rFonts w:ascii="Times New Roman" w:eastAsia="Times New Roman" w:hAnsi="Times New Roman" w:cs="Times New Roman"/>
      <w:lang w:val="en-US"/>
    </w:rPr>
  </w:style>
  <w:style w:type="character" w:customStyle="1" w:styleId="Heading7Char">
    <w:name w:val="Heading 7 Char"/>
    <w:basedOn w:val="DefaultParagraphFont"/>
    <w:link w:val="Heading7"/>
    <w:rsid w:val="00EF2BB7"/>
    <w:rPr>
      <w:rFonts w:ascii="Times New Roman" w:eastAsia="Times New Roman" w:hAnsi="Times New Roman" w:cs="Times New Roman"/>
      <w:lang w:val="en-US"/>
    </w:rPr>
  </w:style>
  <w:style w:type="character" w:customStyle="1" w:styleId="Heading8Char">
    <w:name w:val="Heading 8 Char"/>
    <w:basedOn w:val="DefaultParagraphFont"/>
    <w:link w:val="Heading8"/>
    <w:rsid w:val="00EF2BB7"/>
    <w:rPr>
      <w:rFonts w:ascii="Times New Roman" w:eastAsia="Times New Roman" w:hAnsi="Times New Roman" w:cs="Times New Roman"/>
      <w:lang w:val="en-US"/>
    </w:rPr>
  </w:style>
  <w:style w:type="character" w:customStyle="1" w:styleId="Heading9Char">
    <w:name w:val="Heading 9 Char"/>
    <w:basedOn w:val="DefaultParagraphFont"/>
    <w:link w:val="Heading9"/>
    <w:rsid w:val="00EF2BB7"/>
    <w:rPr>
      <w:rFonts w:ascii="Times New Roman" w:eastAsia="Times New Roman" w:hAnsi="Times New Roman" w:cs="Times New Roman"/>
      <w:lang w:val="en-US"/>
    </w:rPr>
  </w:style>
  <w:style w:type="paragraph" w:styleId="Footer">
    <w:name w:val="footer"/>
    <w:basedOn w:val="Normal"/>
    <w:link w:val="FooterChar"/>
    <w:qFormat/>
    <w:rsid w:val="00CA367D"/>
  </w:style>
  <w:style w:type="character" w:customStyle="1" w:styleId="FooterChar">
    <w:name w:val="Footer Char"/>
    <w:basedOn w:val="DefaultParagraphFont"/>
    <w:link w:val="Footer"/>
    <w:rsid w:val="00EF2BB7"/>
    <w:rPr>
      <w:rFonts w:ascii="Times New Roman" w:eastAsia="Times New Roman" w:hAnsi="Times New Roman" w:cs="Times New Roman"/>
      <w:lang w:val="en-US"/>
    </w:rPr>
  </w:style>
  <w:style w:type="paragraph" w:styleId="FootnoteText">
    <w:name w:val="footnote text"/>
    <w:basedOn w:val="Normal"/>
    <w:link w:val="FootnoteTextChar"/>
    <w:qFormat/>
    <w:rsid w:val="00CA367D"/>
    <w:pPr>
      <w:keepLines/>
      <w:spacing w:after="60" w:line="240" w:lineRule="auto"/>
      <w:ind w:left="567" w:hanging="567"/>
    </w:pPr>
    <w:rPr>
      <w:sz w:val="16"/>
    </w:rPr>
  </w:style>
  <w:style w:type="character" w:customStyle="1" w:styleId="FootnoteTextChar">
    <w:name w:val="Footnote Text Char"/>
    <w:basedOn w:val="DefaultParagraphFont"/>
    <w:link w:val="FootnoteText"/>
    <w:rsid w:val="00EF2BB7"/>
    <w:rPr>
      <w:rFonts w:ascii="Times New Roman" w:eastAsia="Times New Roman" w:hAnsi="Times New Roman" w:cs="Times New Roman"/>
      <w:sz w:val="16"/>
      <w:lang w:val="en-US"/>
    </w:rPr>
  </w:style>
  <w:style w:type="paragraph" w:styleId="Header">
    <w:name w:val="header"/>
    <w:basedOn w:val="Normal"/>
    <w:link w:val="HeaderChar"/>
    <w:qFormat/>
    <w:rsid w:val="00CA367D"/>
  </w:style>
  <w:style w:type="character" w:customStyle="1" w:styleId="HeaderChar">
    <w:name w:val="Header Char"/>
    <w:basedOn w:val="DefaultParagraphFont"/>
    <w:link w:val="Header"/>
    <w:rsid w:val="00EF2BB7"/>
    <w:rPr>
      <w:rFonts w:ascii="Times New Roman" w:eastAsia="Times New Roman" w:hAnsi="Times New Roman" w:cs="Times New Roman"/>
      <w:lang w:val="en-US"/>
    </w:rPr>
  </w:style>
  <w:style w:type="paragraph" w:customStyle="1" w:styleId="quotes">
    <w:name w:val="quotes"/>
    <w:basedOn w:val="Normal"/>
    <w:next w:val="Normal"/>
    <w:rsid w:val="00CA367D"/>
    <w:pPr>
      <w:ind w:left="720"/>
    </w:pPr>
    <w:rPr>
      <w:i/>
    </w:rPr>
  </w:style>
  <w:style w:type="character" w:styleId="FootnoteReference">
    <w:name w:val="footnote reference"/>
    <w:basedOn w:val="DefaultParagraphFont"/>
    <w:unhideWhenUsed/>
    <w:qFormat/>
    <w:rsid w:val="00CA367D"/>
    <w:rPr>
      <w:sz w:val="24"/>
      <w:vertAlign w:val="superscript"/>
    </w:rPr>
  </w:style>
  <w:style w:type="paragraph" w:styleId="BalloonText">
    <w:name w:val="Balloon Text"/>
    <w:basedOn w:val="Normal"/>
    <w:link w:val="BalloonTextChar"/>
    <w:uiPriority w:val="99"/>
    <w:semiHidden/>
    <w:unhideWhenUsed/>
    <w:rsid w:val="00CA36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7D"/>
    <w:rPr>
      <w:rFonts w:ascii="Tahoma" w:eastAsia="Times New Roman" w:hAnsi="Tahoma" w:cs="Tahoma"/>
      <w:sz w:val="16"/>
      <w:szCs w:val="16"/>
      <w:lang w:val="en-US"/>
    </w:rPr>
  </w:style>
  <w:style w:type="character" w:styleId="Hyperlink">
    <w:name w:val="Hyperlink"/>
    <w:basedOn w:val="DefaultParagraphFont"/>
    <w:uiPriority w:val="99"/>
    <w:unhideWhenUsed/>
    <w:rsid w:val="008A152E"/>
    <w:rPr>
      <w:color w:val="0000FF" w:themeColor="hyperlink"/>
      <w:u w:val="single"/>
    </w:rPr>
  </w:style>
  <w:style w:type="paragraph" w:styleId="ListParagraph">
    <w:name w:val="List Paragraph"/>
    <w:basedOn w:val="Normal"/>
    <w:uiPriority w:val="34"/>
    <w:qFormat/>
    <w:rsid w:val="0000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7D"/>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CA367D"/>
    <w:pPr>
      <w:numPr>
        <w:numId w:val="1"/>
      </w:numPr>
      <w:ind w:left="567" w:hanging="567"/>
      <w:outlineLvl w:val="0"/>
    </w:pPr>
    <w:rPr>
      <w:kern w:val="28"/>
    </w:rPr>
  </w:style>
  <w:style w:type="paragraph" w:styleId="Heading2">
    <w:name w:val="heading 2"/>
    <w:basedOn w:val="Normal"/>
    <w:next w:val="Normal"/>
    <w:link w:val="Heading2Char"/>
    <w:qFormat/>
    <w:rsid w:val="00CA367D"/>
    <w:pPr>
      <w:numPr>
        <w:ilvl w:val="1"/>
        <w:numId w:val="1"/>
      </w:numPr>
      <w:ind w:left="567" w:hanging="567"/>
      <w:outlineLvl w:val="1"/>
    </w:pPr>
  </w:style>
  <w:style w:type="paragraph" w:styleId="Heading3">
    <w:name w:val="heading 3"/>
    <w:basedOn w:val="Normal"/>
    <w:next w:val="Normal"/>
    <w:link w:val="Heading3Char"/>
    <w:qFormat/>
    <w:rsid w:val="00CA367D"/>
    <w:pPr>
      <w:numPr>
        <w:ilvl w:val="2"/>
        <w:numId w:val="1"/>
      </w:numPr>
      <w:ind w:left="567" w:hanging="567"/>
      <w:outlineLvl w:val="2"/>
    </w:pPr>
  </w:style>
  <w:style w:type="paragraph" w:styleId="Heading4">
    <w:name w:val="heading 4"/>
    <w:basedOn w:val="Normal"/>
    <w:next w:val="Normal"/>
    <w:link w:val="Heading4Char"/>
    <w:qFormat/>
    <w:rsid w:val="00CA367D"/>
    <w:pPr>
      <w:numPr>
        <w:ilvl w:val="3"/>
        <w:numId w:val="1"/>
      </w:numPr>
      <w:ind w:left="567" w:hanging="567"/>
      <w:outlineLvl w:val="3"/>
    </w:pPr>
  </w:style>
  <w:style w:type="paragraph" w:styleId="Heading5">
    <w:name w:val="heading 5"/>
    <w:basedOn w:val="Normal"/>
    <w:next w:val="Normal"/>
    <w:link w:val="Heading5Char"/>
    <w:qFormat/>
    <w:rsid w:val="00CA367D"/>
    <w:pPr>
      <w:numPr>
        <w:ilvl w:val="4"/>
        <w:numId w:val="1"/>
      </w:numPr>
      <w:ind w:left="567" w:hanging="567"/>
      <w:outlineLvl w:val="4"/>
    </w:pPr>
  </w:style>
  <w:style w:type="paragraph" w:styleId="Heading6">
    <w:name w:val="heading 6"/>
    <w:basedOn w:val="Normal"/>
    <w:next w:val="Normal"/>
    <w:link w:val="Heading6Char"/>
    <w:qFormat/>
    <w:rsid w:val="00CA367D"/>
    <w:pPr>
      <w:numPr>
        <w:ilvl w:val="5"/>
        <w:numId w:val="1"/>
      </w:numPr>
      <w:ind w:left="567" w:hanging="567"/>
      <w:outlineLvl w:val="5"/>
    </w:pPr>
  </w:style>
  <w:style w:type="paragraph" w:styleId="Heading7">
    <w:name w:val="heading 7"/>
    <w:basedOn w:val="Normal"/>
    <w:next w:val="Normal"/>
    <w:link w:val="Heading7Char"/>
    <w:qFormat/>
    <w:rsid w:val="00CA367D"/>
    <w:pPr>
      <w:numPr>
        <w:ilvl w:val="6"/>
        <w:numId w:val="1"/>
      </w:numPr>
      <w:ind w:left="567" w:hanging="567"/>
      <w:outlineLvl w:val="6"/>
    </w:pPr>
  </w:style>
  <w:style w:type="paragraph" w:styleId="Heading8">
    <w:name w:val="heading 8"/>
    <w:basedOn w:val="Normal"/>
    <w:next w:val="Normal"/>
    <w:link w:val="Heading8Char"/>
    <w:qFormat/>
    <w:rsid w:val="00CA367D"/>
    <w:pPr>
      <w:numPr>
        <w:ilvl w:val="7"/>
        <w:numId w:val="1"/>
      </w:numPr>
      <w:ind w:left="567" w:hanging="567"/>
      <w:outlineLvl w:val="7"/>
    </w:pPr>
  </w:style>
  <w:style w:type="paragraph" w:styleId="Heading9">
    <w:name w:val="heading 9"/>
    <w:basedOn w:val="Normal"/>
    <w:next w:val="Normal"/>
    <w:link w:val="Heading9Char"/>
    <w:qFormat/>
    <w:rsid w:val="00CA367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B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F2BB7"/>
    <w:rPr>
      <w:rFonts w:ascii="Times New Roman" w:eastAsia="Times New Roman" w:hAnsi="Times New Roman" w:cs="Times New Roman"/>
      <w:lang w:val="en-US"/>
    </w:rPr>
  </w:style>
  <w:style w:type="character" w:customStyle="1" w:styleId="Heading3Char">
    <w:name w:val="Heading 3 Char"/>
    <w:basedOn w:val="DefaultParagraphFont"/>
    <w:link w:val="Heading3"/>
    <w:rsid w:val="00EF2BB7"/>
    <w:rPr>
      <w:rFonts w:ascii="Times New Roman" w:eastAsia="Times New Roman" w:hAnsi="Times New Roman" w:cs="Times New Roman"/>
      <w:lang w:val="en-US"/>
    </w:rPr>
  </w:style>
  <w:style w:type="character" w:customStyle="1" w:styleId="Heading4Char">
    <w:name w:val="Heading 4 Char"/>
    <w:basedOn w:val="DefaultParagraphFont"/>
    <w:link w:val="Heading4"/>
    <w:rsid w:val="00EF2BB7"/>
    <w:rPr>
      <w:rFonts w:ascii="Times New Roman" w:eastAsia="Times New Roman" w:hAnsi="Times New Roman" w:cs="Times New Roman"/>
      <w:lang w:val="en-US"/>
    </w:rPr>
  </w:style>
  <w:style w:type="character" w:customStyle="1" w:styleId="Heading5Char">
    <w:name w:val="Heading 5 Char"/>
    <w:basedOn w:val="DefaultParagraphFont"/>
    <w:link w:val="Heading5"/>
    <w:rsid w:val="00EF2BB7"/>
    <w:rPr>
      <w:rFonts w:ascii="Times New Roman" w:eastAsia="Times New Roman" w:hAnsi="Times New Roman" w:cs="Times New Roman"/>
      <w:lang w:val="en-US"/>
    </w:rPr>
  </w:style>
  <w:style w:type="character" w:customStyle="1" w:styleId="Heading6Char">
    <w:name w:val="Heading 6 Char"/>
    <w:basedOn w:val="DefaultParagraphFont"/>
    <w:link w:val="Heading6"/>
    <w:rsid w:val="00EF2BB7"/>
    <w:rPr>
      <w:rFonts w:ascii="Times New Roman" w:eastAsia="Times New Roman" w:hAnsi="Times New Roman" w:cs="Times New Roman"/>
      <w:lang w:val="en-US"/>
    </w:rPr>
  </w:style>
  <w:style w:type="character" w:customStyle="1" w:styleId="Heading7Char">
    <w:name w:val="Heading 7 Char"/>
    <w:basedOn w:val="DefaultParagraphFont"/>
    <w:link w:val="Heading7"/>
    <w:rsid w:val="00EF2BB7"/>
    <w:rPr>
      <w:rFonts w:ascii="Times New Roman" w:eastAsia="Times New Roman" w:hAnsi="Times New Roman" w:cs="Times New Roman"/>
      <w:lang w:val="en-US"/>
    </w:rPr>
  </w:style>
  <w:style w:type="character" w:customStyle="1" w:styleId="Heading8Char">
    <w:name w:val="Heading 8 Char"/>
    <w:basedOn w:val="DefaultParagraphFont"/>
    <w:link w:val="Heading8"/>
    <w:rsid w:val="00EF2BB7"/>
    <w:rPr>
      <w:rFonts w:ascii="Times New Roman" w:eastAsia="Times New Roman" w:hAnsi="Times New Roman" w:cs="Times New Roman"/>
      <w:lang w:val="en-US"/>
    </w:rPr>
  </w:style>
  <w:style w:type="character" w:customStyle="1" w:styleId="Heading9Char">
    <w:name w:val="Heading 9 Char"/>
    <w:basedOn w:val="DefaultParagraphFont"/>
    <w:link w:val="Heading9"/>
    <w:rsid w:val="00EF2BB7"/>
    <w:rPr>
      <w:rFonts w:ascii="Times New Roman" w:eastAsia="Times New Roman" w:hAnsi="Times New Roman" w:cs="Times New Roman"/>
      <w:lang w:val="en-US"/>
    </w:rPr>
  </w:style>
  <w:style w:type="paragraph" w:styleId="Footer">
    <w:name w:val="footer"/>
    <w:basedOn w:val="Normal"/>
    <w:link w:val="FooterChar"/>
    <w:qFormat/>
    <w:rsid w:val="00CA367D"/>
  </w:style>
  <w:style w:type="character" w:customStyle="1" w:styleId="FooterChar">
    <w:name w:val="Footer Char"/>
    <w:basedOn w:val="DefaultParagraphFont"/>
    <w:link w:val="Footer"/>
    <w:rsid w:val="00EF2BB7"/>
    <w:rPr>
      <w:rFonts w:ascii="Times New Roman" w:eastAsia="Times New Roman" w:hAnsi="Times New Roman" w:cs="Times New Roman"/>
      <w:lang w:val="en-US"/>
    </w:rPr>
  </w:style>
  <w:style w:type="paragraph" w:styleId="FootnoteText">
    <w:name w:val="footnote text"/>
    <w:basedOn w:val="Normal"/>
    <w:link w:val="FootnoteTextChar"/>
    <w:qFormat/>
    <w:rsid w:val="00CA367D"/>
    <w:pPr>
      <w:keepLines/>
      <w:spacing w:after="60" w:line="240" w:lineRule="auto"/>
      <w:ind w:left="567" w:hanging="567"/>
    </w:pPr>
    <w:rPr>
      <w:sz w:val="16"/>
    </w:rPr>
  </w:style>
  <w:style w:type="character" w:customStyle="1" w:styleId="FootnoteTextChar">
    <w:name w:val="Footnote Text Char"/>
    <w:basedOn w:val="DefaultParagraphFont"/>
    <w:link w:val="FootnoteText"/>
    <w:rsid w:val="00EF2BB7"/>
    <w:rPr>
      <w:rFonts w:ascii="Times New Roman" w:eastAsia="Times New Roman" w:hAnsi="Times New Roman" w:cs="Times New Roman"/>
      <w:sz w:val="16"/>
      <w:lang w:val="en-US"/>
    </w:rPr>
  </w:style>
  <w:style w:type="paragraph" w:styleId="Header">
    <w:name w:val="header"/>
    <w:basedOn w:val="Normal"/>
    <w:link w:val="HeaderChar"/>
    <w:qFormat/>
    <w:rsid w:val="00CA367D"/>
  </w:style>
  <w:style w:type="character" w:customStyle="1" w:styleId="HeaderChar">
    <w:name w:val="Header Char"/>
    <w:basedOn w:val="DefaultParagraphFont"/>
    <w:link w:val="Header"/>
    <w:rsid w:val="00EF2BB7"/>
    <w:rPr>
      <w:rFonts w:ascii="Times New Roman" w:eastAsia="Times New Roman" w:hAnsi="Times New Roman" w:cs="Times New Roman"/>
      <w:lang w:val="en-US"/>
    </w:rPr>
  </w:style>
  <w:style w:type="paragraph" w:customStyle="1" w:styleId="quotes">
    <w:name w:val="quotes"/>
    <w:basedOn w:val="Normal"/>
    <w:next w:val="Normal"/>
    <w:rsid w:val="00CA367D"/>
    <w:pPr>
      <w:ind w:left="720"/>
    </w:pPr>
    <w:rPr>
      <w:i/>
    </w:rPr>
  </w:style>
  <w:style w:type="character" w:styleId="FootnoteReference">
    <w:name w:val="footnote reference"/>
    <w:basedOn w:val="DefaultParagraphFont"/>
    <w:unhideWhenUsed/>
    <w:qFormat/>
    <w:rsid w:val="00CA367D"/>
    <w:rPr>
      <w:sz w:val="24"/>
      <w:vertAlign w:val="superscript"/>
    </w:rPr>
  </w:style>
  <w:style w:type="paragraph" w:styleId="BalloonText">
    <w:name w:val="Balloon Text"/>
    <w:basedOn w:val="Normal"/>
    <w:link w:val="BalloonTextChar"/>
    <w:uiPriority w:val="99"/>
    <w:semiHidden/>
    <w:unhideWhenUsed/>
    <w:rsid w:val="00CA36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7D"/>
    <w:rPr>
      <w:rFonts w:ascii="Tahoma" w:eastAsia="Times New Roman" w:hAnsi="Tahoma" w:cs="Tahoma"/>
      <w:sz w:val="16"/>
      <w:szCs w:val="16"/>
      <w:lang w:val="en-US"/>
    </w:rPr>
  </w:style>
  <w:style w:type="character" w:styleId="Hyperlink">
    <w:name w:val="Hyperlink"/>
    <w:basedOn w:val="DefaultParagraphFont"/>
    <w:uiPriority w:val="99"/>
    <w:unhideWhenUsed/>
    <w:rsid w:val="008A152E"/>
    <w:rPr>
      <w:color w:val="0000FF" w:themeColor="hyperlink"/>
      <w:u w:val="single"/>
    </w:rPr>
  </w:style>
  <w:style w:type="paragraph" w:styleId="ListParagraph">
    <w:name w:val="List Paragraph"/>
    <w:basedOn w:val="Normal"/>
    <w:uiPriority w:val="34"/>
    <w:qFormat/>
    <w:rsid w:val="0000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200">
      <w:bodyDiv w:val="1"/>
      <w:marLeft w:val="0"/>
      <w:marRight w:val="0"/>
      <w:marTop w:val="0"/>
      <w:marBottom w:val="0"/>
      <w:divBdr>
        <w:top w:val="none" w:sz="0" w:space="0" w:color="auto"/>
        <w:left w:val="none" w:sz="0" w:space="0" w:color="auto"/>
        <w:bottom w:val="none" w:sz="0" w:space="0" w:color="auto"/>
        <w:right w:val="none" w:sz="0" w:space="0" w:color="auto"/>
      </w:divBdr>
    </w:div>
    <w:div w:id="204635622">
      <w:bodyDiv w:val="1"/>
      <w:marLeft w:val="0"/>
      <w:marRight w:val="0"/>
      <w:marTop w:val="0"/>
      <w:marBottom w:val="0"/>
      <w:divBdr>
        <w:top w:val="none" w:sz="0" w:space="0" w:color="auto"/>
        <w:left w:val="none" w:sz="0" w:space="0" w:color="auto"/>
        <w:bottom w:val="none" w:sz="0" w:space="0" w:color="auto"/>
        <w:right w:val="none" w:sz="0" w:space="0" w:color="auto"/>
      </w:divBdr>
    </w:div>
    <w:div w:id="694231570">
      <w:bodyDiv w:val="1"/>
      <w:marLeft w:val="0"/>
      <w:marRight w:val="0"/>
      <w:marTop w:val="0"/>
      <w:marBottom w:val="0"/>
      <w:divBdr>
        <w:top w:val="none" w:sz="0" w:space="0" w:color="auto"/>
        <w:left w:val="none" w:sz="0" w:space="0" w:color="auto"/>
        <w:bottom w:val="none" w:sz="0" w:space="0" w:color="auto"/>
        <w:right w:val="none" w:sz="0" w:space="0" w:color="auto"/>
      </w:divBdr>
    </w:div>
    <w:div w:id="1161315640">
      <w:bodyDiv w:val="1"/>
      <w:marLeft w:val="0"/>
      <w:marRight w:val="0"/>
      <w:marTop w:val="0"/>
      <w:marBottom w:val="0"/>
      <w:divBdr>
        <w:top w:val="none" w:sz="0" w:space="0" w:color="auto"/>
        <w:left w:val="none" w:sz="0" w:space="0" w:color="auto"/>
        <w:bottom w:val="none" w:sz="0" w:space="0" w:color="auto"/>
        <w:right w:val="none" w:sz="0" w:space="0" w:color="auto"/>
      </w:divBdr>
    </w:div>
    <w:div w:id="14081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SNS6YXTC77FS-9-8145</_dlc_DocId>
    <_dlc_DocIdUrl xmlns="9f264e46-9252-4f01-a3b2-4cb67eb6fc3c">
      <Url>http://dm/EESC/2015/_layouts/DocIdRedir.aspx?ID=SNS6YXTC77FS-9-8145</Url>
      <Description>SNS6YXTC77FS-9-8145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2017-08-23T12:00:00+00:00</ProductionDate>
    <FicheYear xmlns="9f264e46-9252-4f01-a3b2-4cb67eb6fc3c">2017</FicheYear>
    <DocumentNumber xmlns="ae52afa4-c322-454e-8472-1d2b1900674c">6052</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2017-09-07T12:00:00+00:00</MeetingDate>
    <TaxCatchAll xmlns="9f264e46-9252-4f01-a3b2-4cb67eb6fc3c">
      <Value>133</Value>
      <Value>120</Value>
      <Value>9</Value>
      <Value>8</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8858</FicheNumber>
    <DocumentYear xmlns="9f264e46-9252-4f01-a3b2-4cb67eb6fc3c">2015</DocumentYear>
    <DocumentPart xmlns="9f264e46-9252-4f01-a3b2-4cb67eb6fc3c">1</DocumentPart>
    <AdoptionDate xmlns="9f264e46-9252-4f01-a3b2-4cb67eb6fc3c" xsi:nil="true"/>
    <RequestingService xmlns="9f264e46-9252-4f01-a3b2-4cb67eb6fc3c">Union économique et monétaire, cohésion economique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ECO</TermName>
          <TermId xmlns="http://schemas.microsoft.com/office/infopath/2007/PartnerControls">5eaf91c5-aefa-4637-9de7-a46ece07a8ce</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6B8A2-093A-46E9-AA50-CFAF1F103BD6}">
  <ds:schemaRefs>
    <ds:schemaRef ds:uri="http://schemas.microsoft.com/sharepoint/v3/contenttype/forms"/>
  </ds:schemaRefs>
</ds:datastoreItem>
</file>

<file path=customXml/itemProps2.xml><?xml version="1.0" encoding="utf-8"?>
<ds:datastoreItem xmlns:ds="http://schemas.openxmlformats.org/officeDocument/2006/customXml" ds:itemID="{9C3261BB-BF95-4A4F-863D-6543E3E51251}">
  <ds:schemaRefs>
    <ds:schemaRef ds:uri="http://schemas.microsoft.com/sharepoint/events"/>
  </ds:schemaRefs>
</ds:datastoreItem>
</file>

<file path=customXml/itemProps3.xml><?xml version="1.0" encoding="utf-8"?>
<ds:datastoreItem xmlns:ds="http://schemas.openxmlformats.org/officeDocument/2006/customXml" ds:itemID="{84FBF79C-BA72-4E92-88E4-322D3C7BDA69}">
  <ds:schemaRefs>
    <ds:schemaRef ds:uri="http://schemas.microsoft.com/office/2006/metadata/properties"/>
    <ds:schemaRef ds:uri="http://schemas.microsoft.com/sharepoint/v3/field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ae52afa4-c322-454e-8472-1d2b1900674c"/>
    <ds:schemaRef ds:uri="9f264e46-9252-4f01-a3b2-4cb67eb6fc3c"/>
    <ds:schemaRef ds:uri="http://www.w3.org/XML/1998/namespace"/>
  </ds:schemaRefs>
</ds:datastoreItem>
</file>

<file path=customXml/itemProps4.xml><?xml version="1.0" encoding="utf-8"?>
<ds:datastoreItem xmlns:ds="http://schemas.openxmlformats.org/officeDocument/2006/customXml" ds:itemID="{F3BD4CE5-0C8B-47AD-90A0-41339160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ECO priorities 2018 - executive summary</vt:lpstr>
    </vt:vector>
  </TitlesOfParts>
  <Company>CESE-CdR</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priorities 2018 - executive summary</dc:title>
  <dc:subject>Consultative work, various</dc:subject>
  <dc:creator>Alexander Alexandrov</dc:creator>
  <cp:keywords>EESC-2015-06052-01-00-TCD-TRA-EN</cp:keywords>
  <dc:description>Rapporteur: -  Original language: - EN Date of document: - 23/08/2017 Date of meeting: - 07/09/2017 External documents: -  Administrator responsible: - M. Marchlewitz Gilbert</dc:description>
  <cp:lastModifiedBy>Zuzana Bokorova</cp:lastModifiedBy>
  <cp:revision>5</cp:revision>
  <cp:lastPrinted>2017-09-06T08:12:00Z</cp:lastPrinted>
  <dcterms:created xsi:type="dcterms:W3CDTF">2017-09-05T08:11:00Z</dcterms:created>
  <dcterms:modified xsi:type="dcterms:W3CDTF">2017-09-06T08:13:00Z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23/08/2017, 23/08/2017, 22/08/2017, 19/07/2017, 13/07/2017, 18/11/2015, 18/11/2015</vt:lpwstr>
  </property>
  <property fmtid="{D5CDD505-2E9C-101B-9397-08002B2CF9AE}" pid="4" name="Pref_Time">
    <vt:lpwstr>17:35:13, 17:00:59, 15:58:10, 15:56:40, 17:53:30, 13:04:52, 11:13:27</vt:lpwstr>
  </property>
  <property fmtid="{D5CDD505-2E9C-101B-9397-08002B2CF9AE}" pid="5" name="Pref_User">
    <vt:lpwstr>mreg, nmcg, enied, mreg, amett, mkop, ssex</vt:lpwstr>
  </property>
  <property fmtid="{D5CDD505-2E9C-101B-9397-08002B2CF9AE}" pid="6" name="Pref_FileName">
    <vt:lpwstr>EESC-2015-06052-01-00-TCD-TRA-EN-CRR.docx, EESC-2015-06052-01-00-TCD-CRR-EN.docx, EESC-2015-06052-00-03-TCD-ORI.docx, EESC-2015-06052-00-02-TCD-ORI.docx, EESC-2015-06052-00-01-TCD-TRA-EN-CRR.docx, EESC-2015-06052-00-00-TCD-TRA-EN-CRR.docx, EESC-2015-06052</vt:lpwstr>
  </property>
  <property fmtid="{D5CDD505-2E9C-101B-9397-08002B2CF9AE}" pid="7" name="ContentTypeId">
    <vt:lpwstr>0x010100EA97B91038054C99906057A708A1480A00E7D2B1FD55A9544EB8E25229FA72FDDF</vt:lpwstr>
  </property>
  <property fmtid="{D5CDD505-2E9C-101B-9397-08002B2CF9AE}" pid="8" name="_dlc_DocIdItemGuid">
    <vt:lpwstr>f1865b12-8b1a-46d7-84f1-375e81d84fbb</vt:lpwstr>
  </property>
  <property fmtid="{D5CDD505-2E9C-101B-9397-08002B2CF9AE}" pid="9" name="DocumentType_0">
    <vt:lpwstr>TCD|cd9d6eb6-3f4f-424a-b2d1-57c9d450eaaf</vt:lpwstr>
  </property>
  <property fmtid="{D5CDD505-2E9C-101B-9397-08002B2CF9AE}" pid="10" name="AvailableTranslations">
    <vt:lpwstr>9;#EN|f2175f21-25d7-44a3-96da-d6a61b075e1b;#4;#FR|d2afafd3-4c81-4f60-8f52-ee33f2f54ff3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6052</vt:i4>
  </property>
  <property fmtid="{D5CDD505-2E9C-101B-9397-08002B2CF9AE}" pid="15" name="DocumentVersion">
    <vt:i4>0</vt:i4>
  </property>
  <property fmtid="{D5CDD505-2E9C-101B-9397-08002B2CF9AE}" pid="16" name="DocumentType">
    <vt:lpwstr>8;#TCD|cd9d6eb6-3f4f-424a-b2d1-57c9d450eaaf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1</vt:i4>
  </property>
  <property fmtid="{D5CDD505-2E9C-101B-9397-08002B2CF9AE}" pid="21" name="RequestingService">
    <vt:lpwstr>Union économique et monétaire, cohésion economique et sociale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ECO|5eaf91c5-aefa-4637-9de7-a46ece07a8ce</vt:lpwstr>
  </property>
  <property fmtid="{D5CDD505-2E9C-101B-9397-08002B2CF9AE}" pid="25" name="OriginalLanguage">
    <vt:lpwstr>9;#EN|f2175f21-25d7-44a3-96da-d6a61b075e1b</vt:lpwstr>
  </property>
  <property fmtid="{D5CDD505-2E9C-101B-9397-08002B2CF9AE}" pid="26" name="MeetingName">
    <vt:lpwstr>133;#BUR ECO|5eaf91c5-aefa-4637-9de7-a46ece07a8ce</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2017-09-07T12:00:00Z</vt:filetime>
  </property>
  <property fmtid="{D5CDD505-2E9C-101B-9397-08002B2CF9AE}" pid="30" name="TaxCatchAll">
    <vt:lpwstr>133;#BUR ECO|5eaf91c5-aefa-4637-9de7-a46ece07a8ce;#120;#Final|ea5e6674-7b27-4bac-b091-73adbb394efe;#9;#EN|f2175f21-25d7-44a3-96da-d6a61b075e1b;#8;#TCD|cd9d6eb6-3f4f-424a-b2d1-57c9d450eaaf;#5;#Unrestricted|826e22d7-d029-4ec0-a450-0c28ff673572;#2;#TRA|150d2</vt:lpwstr>
  </property>
  <property fmtid="{D5CDD505-2E9C-101B-9397-08002B2CF9AE}" pid="31" name="AvailableTranslations_0">
    <vt:lpwstr/>
  </property>
  <property fmtid="{D5CDD505-2E9C-101B-9397-08002B2CF9AE}" pid="32" name="VersionStatus">
    <vt:lpwstr>120;#Final|ea5e6674-7b27-4bac-b091-73adbb394efe</vt:lpwstr>
  </property>
  <property fmtid="{D5CDD505-2E9C-101B-9397-08002B2CF9AE}" pid="33" name="VersionStatus_0">
    <vt:lpwstr>Final|ea5e6674-7b27-4bac-b091-73adbb394efe</vt:lpwstr>
  </property>
  <property fmtid="{D5CDD505-2E9C-101B-9397-08002B2CF9AE}" pid="34" name="FicheNumber">
    <vt:i4>8858</vt:i4>
  </property>
  <property fmtid="{D5CDD505-2E9C-101B-9397-08002B2CF9AE}" pid="35" name="DocumentYear">
    <vt:i4>2015</vt:i4>
  </property>
  <property fmtid="{D5CDD505-2E9C-101B-9397-08002B2CF9AE}" pid="36" name="DocumentLanguage">
    <vt:lpwstr>9;#EN|f2175f21-25d7-44a3-96da-d6a61b075e1b</vt:lpwstr>
  </property>
  <property fmtid="{D5CDD505-2E9C-101B-9397-08002B2CF9AE}" pid="37" name="DocumentLanguage_0">
    <vt:lpwstr>EN|f2175f21-25d7-44a3-96da-d6a61b075e1b</vt:lpwstr>
  </property>
</Properties>
</file>